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C976" w14:textId="77777777" w:rsidR="005417E1" w:rsidRDefault="005417E1">
      <w:pPr>
        <w:widowControl w:val="0"/>
        <w:spacing w:line="276" w:lineRule="auto"/>
        <w:rPr>
          <w:rFonts w:ascii="Palatino Linotype" w:eastAsia="Palatino Linotype" w:hAnsi="Palatino Linotype" w:cs="Palatino Linotype"/>
          <w:sz w:val="22"/>
          <w:szCs w:val="22"/>
        </w:rPr>
      </w:pPr>
    </w:p>
    <w:p w14:paraId="212B9833" w14:textId="77777777" w:rsidR="005417E1" w:rsidRDefault="005417E1">
      <w:pPr>
        <w:widowControl w:val="0"/>
        <w:spacing w:line="276" w:lineRule="auto"/>
        <w:rPr>
          <w:rFonts w:ascii="Palatino Linotype" w:eastAsia="Palatino Linotype" w:hAnsi="Palatino Linotype" w:cs="Palatino Linotype"/>
          <w:sz w:val="22"/>
          <w:szCs w:val="22"/>
        </w:rPr>
      </w:pPr>
    </w:p>
    <w:p w14:paraId="207A9866" w14:textId="77777777" w:rsidR="005417E1" w:rsidRDefault="00D17363">
      <w:pPr>
        <w:widowControl w:val="0"/>
        <w:spacing w:before="100" w:after="240" w:line="276" w:lineRule="auto"/>
        <w:jc w:val="both"/>
        <w:rPr>
          <w:rFonts w:ascii="Constantia" w:eastAsia="Constantia" w:hAnsi="Constantia" w:cs="Constantia"/>
        </w:rPr>
      </w:pPr>
      <w:r>
        <w:rPr>
          <w:rFonts w:ascii="Constantia" w:eastAsia="Constantia" w:hAnsi="Constantia" w:cs="Constantia"/>
        </w:rPr>
        <w:t>Bogotá D.C, 03 de septiembre de 2025.</w:t>
      </w:r>
    </w:p>
    <w:p w14:paraId="1A35398E" w14:textId="77777777" w:rsidR="005417E1" w:rsidRDefault="00D17363">
      <w:pPr>
        <w:widowControl w:val="0"/>
        <w:spacing w:after="240" w:line="276" w:lineRule="auto"/>
        <w:jc w:val="both"/>
        <w:rPr>
          <w:rFonts w:ascii="Constantia" w:eastAsia="Constantia" w:hAnsi="Constantia" w:cs="Constantia"/>
        </w:rPr>
      </w:pPr>
      <w:r>
        <w:rPr>
          <w:rFonts w:ascii="Constantia" w:eastAsia="Constantia" w:hAnsi="Constantia" w:cs="Constantia"/>
        </w:rPr>
        <w:t xml:space="preserve"> </w:t>
      </w:r>
    </w:p>
    <w:p w14:paraId="06EDAE6B" w14:textId="77777777" w:rsidR="005417E1" w:rsidRDefault="00D17363">
      <w:pPr>
        <w:widowControl w:val="0"/>
        <w:spacing w:before="240" w:after="240" w:line="276" w:lineRule="auto"/>
        <w:rPr>
          <w:rFonts w:ascii="Constantia" w:eastAsia="Constantia" w:hAnsi="Constantia" w:cs="Constantia"/>
        </w:rPr>
      </w:pPr>
      <w:r>
        <w:rPr>
          <w:rFonts w:ascii="Constantia" w:eastAsia="Constantia" w:hAnsi="Constantia" w:cs="Constantia"/>
        </w:rPr>
        <w:t xml:space="preserve">Honorable Representante                                                                                                                          </w:t>
      </w:r>
      <w:r>
        <w:rPr>
          <w:rFonts w:ascii="Constantia" w:eastAsia="Constantia" w:hAnsi="Constantia" w:cs="Constantia"/>
          <w:b/>
        </w:rPr>
        <w:t xml:space="preserve">GABRIEL BECERRA YAÑEZ                                                                                          </w:t>
      </w:r>
      <w:r>
        <w:rPr>
          <w:rFonts w:ascii="Constantia" w:eastAsia="Constantia" w:hAnsi="Constantia" w:cs="Constantia"/>
          <w:b/>
        </w:rPr>
        <w:t xml:space="preserve">      Presidente Comisión Primera Constitucional        </w:t>
      </w:r>
      <w:r>
        <w:rPr>
          <w:rFonts w:ascii="Constantia" w:eastAsia="Constantia" w:hAnsi="Constantia" w:cs="Constantia"/>
        </w:rPr>
        <w:t xml:space="preserve">                                                              Cámara de Representantes</w:t>
      </w:r>
    </w:p>
    <w:p w14:paraId="6748EA54" w14:textId="77777777" w:rsidR="005417E1" w:rsidRDefault="00D17363">
      <w:pPr>
        <w:widowControl w:val="0"/>
        <w:spacing w:before="240" w:after="240" w:line="276" w:lineRule="auto"/>
        <w:jc w:val="both"/>
        <w:rPr>
          <w:rFonts w:ascii="Constantia" w:eastAsia="Constantia" w:hAnsi="Constantia" w:cs="Constantia"/>
        </w:rPr>
      </w:pPr>
      <w:r>
        <w:rPr>
          <w:rFonts w:ascii="Constantia" w:eastAsia="Constantia" w:hAnsi="Constantia" w:cs="Constantia"/>
        </w:rPr>
        <w:t xml:space="preserve"> </w:t>
      </w:r>
    </w:p>
    <w:p w14:paraId="73527FD7" w14:textId="77777777" w:rsidR="005417E1" w:rsidRDefault="005417E1">
      <w:pPr>
        <w:widowControl w:val="0"/>
        <w:spacing w:before="240" w:after="240" w:line="276" w:lineRule="auto"/>
        <w:ind w:left="2267" w:right="-40"/>
        <w:jc w:val="right"/>
        <w:rPr>
          <w:rFonts w:ascii="Constantia" w:eastAsia="Constantia" w:hAnsi="Constantia" w:cs="Constantia"/>
          <w:b/>
        </w:rPr>
      </w:pPr>
    </w:p>
    <w:p w14:paraId="3EFF4774" w14:textId="77777777" w:rsidR="005417E1" w:rsidRDefault="00D17363">
      <w:pPr>
        <w:widowControl w:val="0"/>
        <w:spacing w:before="240" w:after="240" w:line="276" w:lineRule="auto"/>
        <w:ind w:left="2267" w:right="-40"/>
        <w:jc w:val="right"/>
        <w:rPr>
          <w:rFonts w:ascii="Constantia" w:eastAsia="Constantia" w:hAnsi="Constantia" w:cs="Constantia"/>
        </w:rPr>
      </w:pPr>
      <w:r>
        <w:rPr>
          <w:rFonts w:ascii="Constantia" w:eastAsia="Constantia" w:hAnsi="Constantia" w:cs="Constantia"/>
          <w:b/>
        </w:rPr>
        <w:t xml:space="preserve">Referencia: </w:t>
      </w:r>
      <w:r>
        <w:rPr>
          <w:rFonts w:ascii="Constantia" w:eastAsia="Constantia" w:hAnsi="Constantia" w:cs="Constantia"/>
        </w:rPr>
        <w:t>Informe de Ponencia para Primer Debate al Proyecto de Ley número 084 de 2025 Cámara</w:t>
      </w:r>
    </w:p>
    <w:p w14:paraId="6264F9CA" w14:textId="77777777" w:rsidR="005417E1" w:rsidRDefault="00D17363">
      <w:pPr>
        <w:widowControl w:val="0"/>
        <w:spacing w:before="240" w:after="240" w:line="276" w:lineRule="auto"/>
        <w:jc w:val="both"/>
        <w:rPr>
          <w:rFonts w:ascii="Constantia" w:eastAsia="Constantia" w:hAnsi="Constantia" w:cs="Constantia"/>
        </w:rPr>
      </w:pPr>
      <w:r>
        <w:rPr>
          <w:rFonts w:ascii="Constantia" w:eastAsia="Constantia" w:hAnsi="Constantia" w:cs="Constantia"/>
        </w:rPr>
        <w:t xml:space="preserve"> </w:t>
      </w:r>
    </w:p>
    <w:p w14:paraId="56CFB39E" w14:textId="77777777" w:rsidR="005417E1" w:rsidRDefault="00D17363">
      <w:pPr>
        <w:widowControl w:val="0"/>
        <w:spacing w:before="240" w:after="240" w:line="276" w:lineRule="auto"/>
        <w:jc w:val="both"/>
        <w:rPr>
          <w:rFonts w:ascii="Constantia" w:eastAsia="Constantia" w:hAnsi="Constantia" w:cs="Constantia"/>
        </w:rPr>
      </w:pPr>
      <w:r>
        <w:rPr>
          <w:rFonts w:ascii="Constantia" w:eastAsia="Constantia" w:hAnsi="Constantia" w:cs="Constantia"/>
        </w:rPr>
        <w:t>Honorable Re</w:t>
      </w:r>
      <w:r>
        <w:rPr>
          <w:rFonts w:ascii="Constantia" w:eastAsia="Constantia" w:hAnsi="Constantia" w:cs="Constantia"/>
        </w:rPr>
        <w:t>presentante,</w:t>
      </w:r>
    </w:p>
    <w:p w14:paraId="792A8A30" w14:textId="77777777" w:rsidR="005417E1" w:rsidRDefault="00D17363">
      <w:pPr>
        <w:widowControl w:val="0"/>
        <w:spacing w:before="240" w:after="240" w:line="276" w:lineRule="auto"/>
        <w:jc w:val="both"/>
        <w:rPr>
          <w:rFonts w:ascii="Constantia" w:eastAsia="Constantia" w:hAnsi="Constantia" w:cs="Constantia"/>
          <w:b/>
          <w:i/>
        </w:rPr>
      </w:pPr>
      <w:r>
        <w:rPr>
          <w:rFonts w:ascii="Constantia" w:eastAsia="Constantia" w:hAnsi="Constantia" w:cs="Constantia"/>
        </w:rPr>
        <w:t>De conformidad con la designación realizada por la Honorable Mesa Directiva de la Comisión Primera Constitucional Permanente de la Cámara de Representantes, rindo Informe de</w:t>
      </w:r>
      <w:r>
        <w:rPr>
          <w:rFonts w:ascii="Constantia" w:eastAsia="Constantia" w:hAnsi="Constantia" w:cs="Constantia"/>
          <w:b/>
        </w:rPr>
        <w:t xml:space="preserve"> PONENCIA POSITIVA</w:t>
      </w:r>
      <w:r>
        <w:rPr>
          <w:rFonts w:ascii="Constantia" w:eastAsia="Constantia" w:hAnsi="Constantia" w:cs="Constantia"/>
        </w:rPr>
        <w:t xml:space="preserve"> para Primer Debate del </w:t>
      </w:r>
      <w:r>
        <w:rPr>
          <w:rFonts w:ascii="Constantia" w:eastAsia="Constantia" w:hAnsi="Constantia" w:cs="Constantia"/>
          <w:b/>
        </w:rPr>
        <w:t>Proyecto de Ley No. 084 de 2</w:t>
      </w:r>
      <w:r>
        <w:rPr>
          <w:rFonts w:ascii="Constantia" w:eastAsia="Constantia" w:hAnsi="Constantia" w:cs="Constantia"/>
          <w:b/>
        </w:rPr>
        <w:t xml:space="preserve">025 Cámara </w:t>
      </w:r>
      <w:r>
        <w:rPr>
          <w:rFonts w:ascii="Constantia" w:eastAsia="Constantia" w:hAnsi="Constantia" w:cs="Constantia"/>
          <w:b/>
          <w:i/>
        </w:rPr>
        <w:t>“Por medio de la cual se modifica la Ley 906 de 2004, se reglamenta la garantía procesal de doble conformidad judicial, se regula el recurso de impugnación especial y se dictan otras disposiciones.”</w:t>
      </w:r>
    </w:p>
    <w:p w14:paraId="700452D0" w14:textId="77777777" w:rsidR="005417E1" w:rsidRDefault="005417E1">
      <w:pPr>
        <w:widowControl w:val="0"/>
        <w:spacing w:before="240" w:after="240" w:line="276" w:lineRule="auto"/>
        <w:jc w:val="both"/>
        <w:rPr>
          <w:rFonts w:ascii="Constantia" w:eastAsia="Constantia" w:hAnsi="Constantia" w:cs="Constantia"/>
          <w:b/>
          <w:i/>
        </w:rPr>
      </w:pPr>
    </w:p>
    <w:p w14:paraId="70E9EDAB" w14:textId="77777777" w:rsidR="005417E1" w:rsidRDefault="00D17363">
      <w:pPr>
        <w:widowControl w:val="0"/>
        <w:shd w:val="clear" w:color="auto" w:fill="FFFFFF"/>
        <w:spacing w:before="240" w:after="240" w:line="276" w:lineRule="auto"/>
        <w:jc w:val="both"/>
        <w:rPr>
          <w:rFonts w:ascii="Palatino Linotype" w:eastAsia="Palatino Linotype" w:hAnsi="Palatino Linotype" w:cs="Palatino Linotype"/>
          <w:sz w:val="22"/>
          <w:szCs w:val="22"/>
        </w:rPr>
      </w:pPr>
      <w:r>
        <w:rPr>
          <w:rFonts w:ascii="Constantia" w:eastAsia="Constantia" w:hAnsi="Constantia" w:cs="Constantia"/>
        </w:rPr>
        <w:t>Atentamente,</w:t>
      </w:r>
    </w:p>
    <w:p w14:paraId="594FBFEA" w14:textId="77777777" w:rsidR="005417E1" w:rsidRDefault="005417E1">
      <w:pPr>
        <w:widowControl w:val="0"/>
        <w:spacing w:line="276" w:lineRule="auto"/>
        <w:rPr>
          <w:rFonts w:ascii="Palatino Linotype" w:eastAsia="Palatino Linotype" w:hAnsi="Palatino Linotype" w:cs="Palatino Linotype"/>
          <w:sz w:val="22"/>
          <w:szCs w:val="22"/>
        </w:rPr>
      </w:pPr>
    </w:p>
    <w:p w14:paraId="63826B84" w14:textId="77777777" w:rsidR="005417E1" w:rsidRDefault="005417E1">
      <w:pPr>
        <w:widowControl w:val="0"/>
        <w:spacing w:line="276" w:lineRule="auto"/>
        <w:rPr>
          <w:rFonts w:ascii="Palatino Linotype" w:eastAsia="Palatino Linotype" w:hAnsi="Palatino Linotype" w:cs="Palatino Linotype"/>
          <w:sz w:val="22"/>
          <w:szCs w:val="22"/>
        </w:rPr>
      </w:pPr>
    </w:p>
    <w:p w14:paraId="1D639C4B" w14:textId="77777777" w:rsidR="005417E1" w:rsidRDefault="005417E1">
      <w:pPr>
        <w:widowControl w:val="0"/>
        <w:shd w:val="clear" w:color="auto" w:fill="FFFFFF"/>
        <w:spacing w:line="276" w:lineRule="auto"/>
        <w:jc w:val="center"/>
        <w:rPr>
          <w:rFonts w:ascii="Constantia" w:eastAsia="Constantia" w:hAnsi="Constantia" w:cs="Constantia"/>
          <w:b/>
        </w:rPr>
      </w:pPr>
    </w:p>
    <w:p w14:paraId="116FADF5" w14:textId="77777777" w:rsidR="005417E1" w:rsidRDefault="00D17363">
      <w:pPr>
        <w:widowControl w:val="0"/>
        <w:shd w:val="clear" w:color="auto" w:fill="FFFFFF"/>
        <w:spacing w:line="276" w:lineRule="auto"/>
        <w:jc w:val="center"/>
        <w:rPr>
          <w:rFonts w:ascii="Constantia" w:eastAsia="Constantia" w:hAnsi="Constantia" w:cs="Constantia"/>
          <w:b/>
        </w:rPr>
      </w:pPr>
      <w:r>
        <w:rPr>
          <w:rFonts w:ascii="Constantia" w:eastAsia="Constantia" w:hAnsi="Constantia" w:cs="Constantia"/>
          <w:b/>
        </w:rPr>
        <w:t>ALIRIO URIBE MUÑOZ</w:t>
      </w:r>
    </w:p>
    <w:p w14:paraId="04715923" w14:textId="77777777" w:rsidR="005417E1" w:rsidRDefault="00D17363">
      <w:pPr>
        <w:widowControl w:val="0"/>
        <w:shd w:val="clear" w:color="auto" w:fill="FFFFFF"/>
        <w:spacing w:line="276" w:lineRule="auto"/>
        <w:jc w:val="center"/>
        <w:rPr>
          <w:rFonts w:ascii="Constantia" w:eastAsia="Constantia" w:hAnsi="Constantia" w:cs="Constantia"/>
          <w:b/>
        </w:rPr>
      </w:pPr>
      <w:r>
        <w:rPr>
          <w:rFonts w:ascii="Constantia" w:eastAsia="Constantia" w:hAnsi="Constantia" w:cs="Constantia"/>
          <w:b/>
        </w:rPr>
        <w:t>Ponente Único</w:t>
      </w:r>
    </w:p>
    <w:p w14:paraId="0B7551FC" w14:textId="77777777" w:rsidR="005417E1" w:rsidRDefault="005417E1">
      <w:pPr>
        <w:widowControl w:val="0"/>
        <w:spacing w:line="276" w:lineRule="auto"/>
        <w:rPr>
          <w:rFonts w:ascii="Palatino Linotype" w:eastAsia="Palatino Linotype" w:hAnsi="Palatino Linotype" w:cs="Palatino Linotype"/>
          <w:sz w:val="22"/>
          <w:szCs w:val="22"/>
        </w:rPr>
      </w:pPr>
    </w:p>
    <w:p w14:paraId="2ED6E1DA" w14:textId="77777777" w:rsidR="005417E1" w:rsidRDefault="005417E1">
      <w:pPr>
        <w:widowControl w:val="0"/>
        <w:spacing w:line="276" w:lineRule="auto"/>
        <w:rPr>
          <w:rFonts w:ascii="Palatino Linotype" w:eastAsia="Palatino Linotype" w:hAnsi="Palatino Linotype" w:cs="Palatino Linotype"/>
          <w:sz w:val="22"/>
          <w:szCs w:val="22"/>
        </w:rPr>
      </w:pPr>
    </w:p>
    <w:p w14:paraId="04A32F9B" w14:textId="77777777" w:rsidR="005417E1" w:rsidRDefault="005417E1">
      <w:pPr>
        <w:widowControl w:val="0"/>
        <w:spacing w:line="276" w:lineRule="auto"/>
        <w:rPr>
          <w:rFonts w:ascii="Palatino Linotype" w:eastAsia="Palatino Linotype" w:hAnsi="Palatino Linotype" w:cs="Palatino Linotype"/>
          <w:sz w:val="22"/>
          <w:szCs w:val="22"/>
        </w:rPr>
      </w:pPr>
    </w:p>
    <w:p w14:paraId="036604C2" w14:textId="77777777" w:rsidR="005417E1" w:rsidRDefault="00D17363">
      <w:pPr>
        <w:widowControl w:val="0"/>
        <w:pBdr>
          <w:top w:val="nil"/>
          <w:left w:val="nil"/>
          <w:bottom w:val="nil"/>
          <w:right w:val="nil"/>
          <w:between w:val="nil"/>
        </w:pBdr>
        <w:spacing w:line="276" w:lineRule="auto"/>
        <w:jc w:val="center"/>
        <w:rPr>
          <w:rFonts w:ascii="Constantia" w:eastAsia="Constantia" w:hAnsi="Constantia" w:cs="Constantia"/>
          <w:b/>
        </w:rPr>
      </w:pPr>
      <w:r>
        <w:rPr>
          <w:rFonts w:ascii="Constantia" w:eastAsia="Constantia" w:hAnsi="Constantia" w:cs="Constantia"/>
          <w:b/>
        </w:rPr>
        <w:lastRenderedPageBreak/>
        <w:t>INFORME DE PONENCIA PARA PRIMER DEBATE AL</w:t>
      </w:r>
    </w:p>
    <w:p w14:paraId="7BD149D5" w14:textId="77777777" w:rsidR="005417E1" w:rsidRDefault="005417E1">
      <w:pPr>
        <w:widowControl w:val="0"/>
        <w:pBdr>
          <w:top w:val="nil"/>
          <w:left w:val="nil"/>
          <w:bottom w:val="nil"/>
          <w:right w:val="nil"/>
          <w:between w:val="nil"/>
        </w:pBdr>
        <w:spacing w:line="276" w:lineRule="auto"/>
        <w:jc w:val="center"/>
        <w:rPr>
          <w:rFonts w:ascii="Constantia" w:eastAsia="Constantia" w:hAnsi="Constantia" w:cs="Constantia"/>
          <w:b/>
        </w:rPr>
      </w:pPr>
    </w:p>
    <w:p w14:paraId="270A7BE6" w14:textId="77777777" w:rsidR="005417E1" w:rsidRDefault="00D17363">
      <w:pPr>
        <w:widowControl w:val="0"/>
        <w:pBdr>
          <w:top w:val="nil"/>
          <w:left w:val="nil"/>
          <w:bottom w:val="nil"/>
          <w:right w:val="nil"/>
          <w:between w:val="nil"/>
        </w:pBdr>
        <w:spacing w:line="276" w:lineRule="auto"/>
        <w:jc w:val="center"/>
        <w:rPr>
          <w:rFonts w:ascii="Times New Roman" w:eastAsia="Times New Roman" w:hAnsi="Times New Roman" w:cs="Times New Roman"/>
          <w:b/>
          <w:sz w:val="22"/>
          <w:szCs w:val="22"/>
        </w:rPr>
      </w:pPr>
      <w:r>
        <w:rPr>
          <w:rFonts w:ascii="Constantia" w:eastAsia="Constantia" w:hAnsi="Constantia" w:cs="Constantia"/>
          <w:b/>
        </w:rPr>
        <w:t>PROYECTO DE LEY 084 DE 2025 CÁMARA</w:t>
      </w:r>
    </w:p>
    <w:p w14:paraId="583FE26C" w14:textId="77777777" w:rsidR="005417E1" w:rsidRDefault="00D17363">
      <w:pPr>
        <w:widowControl w:val="0"/>
        <w:pBdr>
          <w:top w:val="nil"/>
          <w:left w:val="nil"/>
          <w:bottom w:val="nil"/>
          <w:right w:val="nil"/>
          <w:between w:val="nil"/>
        </w:pBdr>
        <w:spacing w:line="276" w:lineRule="auto"/>
        <w:jc w:val="center"/>
        <w:rPr>
          <w:rFonts w:ascii="Constantia" w:eastAsia="Constantia" w:hAnsi="Constantia" w:cs="Constantia"/>
          <w:b/>
          <w:i/>
        </w:rPr>
      </w:pPr>
      <w:r>
        <w:rPr>
          <w:rFonts w:ascii="Times New Roman" w:eastAsia="Times New Roman" w:hAnsi="Times New Roman" w:cs="Times New Roman"/>
          <w:b/>
          <w:sz w:val="22"/>
          <w:szCs w:val="22"/>
        </w:rPr>
        <w:t>“</w:t>
      </w:r>
      <w:r>
        <w:rPr>
          <w:rFonts w:ascii="Constantia" w:eastAsia="Constantia" w:hAnsi="Constantia" w:cs="Constantia"/>
          <w:b/>
          <w:i/>
        </w:rPr>
        <w:t>Por medio de la cual se modifica la Ley 906 de 2004, se reglamenta la garantía procesal de doble conformidad judicial, se regula el recurso d</w:t>
      </w:r>
      <w:r>
        <w:rPr>
          <w:rFonts w:ascii="Constantia" w:eastAsia="Constantia" w:hAnsi="Constantia" w:cs="Constantia"/>
          <w:b/>
          <w:i/>
        </w:rPr>
        <w:t>e impugnación especial y se dictan otras disposiciones.</w:t>
      </w:r>
    </w:p>
    <w:p w14:paraId="25DE2818" w14:textId="77777777" w:rsidR="005417E1" w:rsidRDefault="005417E1">
      <w:pPr>
        <w:widowControl w:val="0"/>
        <w:spacing w:before="280" w:after="280" w:line="276" w:lineRule="auto"/>
        <w:jc w:val="center"/>
        <w:rPr>
          <w:rFonts w:ascii="Constantia" w:eastAsia="Constantia" w:hAnsi="Constantia" w:cs="Constantia"/>
          <w:b/>
          <w:i/>
        </w:rPr>
      </w:pPr>
    </w:p>
    <w:p w14:paraId="56B4F8E9" w14:textId="77777777" w:rsidR="005417E1" w:rsidRDefault="00D17363">
      <w:pPr>
        <w:numPr>
          <w:ilvl w:val="0"/>
          <w:numId w:val="5"/>
        </w:numPr>
        <w:spacing w:line="276" w:lineRule="auto"/>
        <w:jc w:val="both"/>
        <w:rPr>
          <w:rFonts w:ascii="Constantia" w:eastAsia="Constantia" w:hAnsi="Constantia" w:cs="Constantia"/>
          <w:b/>
          <w:color w:val="000000"/>
        </w:rPr>
      </w:pPr>
      <w:r>
        <w:rPr>
          <w:rFonts w:ascii="Constantia" w:eastAsia="Constantia" w:hAnsi="Constantia" w:cs="Constantia"/>
          <w:b/>
          <w:color w:val="000000"/>
        </w:rPr>
        <w:t>OBJETO DEL PROYECTO</w:t>
      </w:r>
    </w:p>
    <w:p w14:paraId="77BDD477" w14:textId="77777777" w:rsidR="005417E1" w:rsidRDefault="005417E1">
      <w:pPr>
        <w:spacing w:line="276" w:lineRule="auto"/>
        <w:rPr>
          <w:rFonts w:ascii="Times New Roman" w:eastAsia="Times New Roman" w:hAnsi="Times New Roman" w:cs="Times New Roman"/>
        </w:rPr>
      </w:pPr>
    </w:p>
    <w:p w14:paraId="488CC08E"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La presente iniciativa tiene por objeto positivizar y reglamentar el recurso de impugnación especial para salvaguardar la garantía de acceso a la doble conformidad judicial propia del derecho al debido proceso en materia penal, en obediencia a los mandatos</w:t>
      </w:r>
      <w:r>
        <w:rPr>
          <w:rFonts w:ascii="Constantia" w:eastAsia="Constantia" w:hAnsi="Constantia" w:cs="Constantia"/>
          <w:color w:val="000000"/>
        </w:rPr>
        <w:t xml:space="preserve"> establecidos por la Corte Interamericana de Derechos Humanos y la Corte Constitucional colombiana y en atención a las condiciones previamente desarrolladas por la Sala Penal de la Corte Suprema de Justicia para su trámite. </w:t>
      </w:r>
    </w:p>
    <w:p w14:paraId="5AC3F402" w14:textId="77777777" w:rsidR="005417E1" w:rsidRDefault="00D17363">
      <w:pPr>
        <w:spacing w:line="276" w:lineRule="auto"/>
        <w:rPr>
          <w:rFonts w:ascii="Times New Roman" w:eastAsia="Times New Roman" w:hAnsi="Times New Roman" w:cs="Times New Roman"/>
        </w:rPr>
      </w:pPr>
      <w:r>
        <w:rPr>
          <w:rFonts w:ascii="Times New Roman" w:eastAsia="Times New Roman" w:hAnsi="Times New Roman" w:cs="Times New Roman"/>
        </w:rPr>
        <w:br/>
      </w:r>
    </w:p>
    <w:p w14:paraId="2A74C433" w14:textId="77777777" w:rsidR="005417E1" w:rsidRDefault="00D17363">
      <w:pPr>
        <w:numPr>
          <w:ilvl w:val="0"/>
          <w:numId w:val="1"/>
        </w:numPr>
        <w:spacing w:line="276" w:lineRule="auto"/>
        <w:ind w:left="567" w:firstLine="0"/>
        <w:jc w:val="both"/>
        <w:rPr>
          <w:rFonts w:ascii="Constantia" w:eastAsia="Constantia" w:hAnsi="Constantia" w:cs="Constantia"/>
          <w:b/>
          <w:color w:val="000000"/>
        </w:rPr>
      </w:pPr>
      <w:r>
        <w:rPr>
          <w:rFonts w:ascii="Constantia" w:eastAsia="Constantia" w:hAnsi="Constantia" w:cs="Constantia"/>
          <w:b/>
          <w:color w:val="000000"/>
        </w:rPr>
        <w:t>ANTECEDENTES</w:t>
      </w:r>
    </w:p>
    <w:p w14:paraId="5C979957" w14:textId="77777777" w:rsidR="005417E1" w:rsidRDefault="005417E1">
      <w:pPr>
        <w:spacing w:line="276" w:lineRule="auto"/>
        <w:rPr>
          <w:rFonts w:ascii="Times New Roman" w:eastAsia="Times New Roman" w:hAnsi="Times New Roman" w:cs="Times New Roman"/>
        </w:rPr>
      </w:pPr>
    </w:p>
    <w:p w14:paraId="3EE27D04"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Este proyecto obedece a los múltiples exhortos que ha hecho la Honorable Corte Constitucional al Congreso de la República a efectos de que regule, límite, desarrolle y/o determine las vías y mecanismos para que los ciudadanos puedan ejercer su derecho a la</w:t>
      </w:r>
      <w:r>
        <w:rPr>
          <w:rFonts w:ascii="Constantia" w:eastAsia="Constantia" w:hAnsi="Constantia" w:cs="Constantia"/>
          <w:color w:val="000000"/>
        </w:rPr>
        <w:t xml:space="preserve"> doble conformidad en materia penal, que implica la posibilidad de que la primera sentencia condenatoria sea revisada cuando es proferida en segunda instancia o por primera vez al estudiar el recurso de casación. </w:t>
      </w:r>
    </w:p>
    <w:p w14:paraId="11E2D733"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el articulado se atiende a los pronunci</w:t>
      </w:r>
      <w:r>
        <w:rPr>
          <w:rFonts w:ascii="Constantia" w:eastAsia="Constantia" w:hAnsi="Constantia" w:cs="Constantia"/>
          <w:color w:val="000000"/>
        </w:rPr>
        <w:t>amientos judiciales en la materia que han proferido la Corte Interamericana de Derechos Humanos y la Corte Constitucional para desarrollar esta garantía propia del derecho fundamental al debido proceso. También se armoniza la metodología para la presentaci</w:t>
      </w:r>
      <w:r>
        <w:rPr>
          <w:rFonts w:ascii="Constantia" w:eastAsia="Constantia" w:hAnsi="Constantia" w:cs="Constantia"/>
          <w:color w:val="000000"/>
        </w:rPr>
        <w:t>ón y trámite del recurso de impugnación especial que ha sido establecido por la Sala de Casación Penal de la Corte Suprema de Justicia. </w:t>
      </w:r>
    </w:p>
    <w:p w14:paraId="466683B6"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 xml:space="preserve">En la legislatura 2024-2025 se presentó la misma iniciativa y empezó su trámite bajo el radicado 409/2024 Cámara, para </w:t>
      </w:r>
      <w:r>
        <w:rPr>
          <w:rFonts w:ascii="Constantia" w:eastAsia="Constantia" w:hAnsi="Constantia" w:cs="Constantia"/>
          <w:color w:val="000000"/>
        </w:rPr>
        <w:t xml:space="preserve">la construcción de la ponencia para primer debate fueron especialmente provechosos y enriquecedores tanto la audiencia </w:t>
      </w:r>
      <w:r>
        <w:rPr>
          <w:rFonts w:ascii="Constantia" w:eastAsia="Constantia" w:hAnsi="Constantia" w:cs="Constantia"/>
          <w:color w:val="000000"/>
        </w:rPr>
        <w:lastRenderedPageBreak/>
        <w:t>pública</w:t>
      </w:r>
      <w:r>
        <w:rPr>
          <w:rFonts w:ascii="Constantia" w:eastAsia="Constantia" w:hAnsi="Constantia" w:cs="Constantia"/>
          <w:color w:val="000000"/>
          <w:vertAlign w:val="superscript"/>
        </w:rPr>
        <w:footnoteReference w:id="1"/>
      </w:r>
      <w:r>
        <w:rPr>
          <w:rFonts w:ascii="Constantia" w:eastAsia="Constantia" w:hAnsi="Constantia" w:cs="Constantia"/>
          <w:color w:val="000000"/>
        </w:rPr>
        <w:t xml:space="preserve"> que se llevó a cabo en la Comisión Primera de la Cámara el 17 de febrero en la que participaron abogados litigantes, profesores</w:t>
      </w:r>
      <w:r>
        <w:rPr>
          <w:rFonts w:ascii="Constantia" w:eastAsia="Constantia" w:hAnsi="Constantia" w:cs="Constantia"/>
          <w:color w:val="000000"/>
        </w:rPr>
        <w:t xml:space="preserve"> de derecho penal de distintas universidades y organizaciones de la sociedad civil como el desayuno llevado a cabo en la Sala Penal de la Corte Suprema de justicia con los Magistrados de dicha Sala. </w:t>
      </w:r>
    </w:p>
    <w:p w14:paraId="65D7C232"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 xml:space="preserve">De ambos espacios emergieron documentos de apoyo en los </w:t>
      </w:r>
      <w:r>
        <w:rPr>
          <w:rFonts w:ascii="Constantia" w:eastAsia="Constantia" w:hAnsi="Constantia" w:cs="Constantia"/>
          <w:color w:val="000000"/>
        </w:rPr>
        <w:t>que los distintos actores interesados y con conocimiento especializado en el tema especificaron su postura sobre la generalidad del articulado y sobre las disposiciones específicas, esos documentos fueron integrados en la ponencia para primer debate radica</w:t>
      </w:r>
      <w:r>
        <w:rPr>
          <w:rFonts w:ascii="Constantia" w:eastAsia="Constantia" w:hAnsi="Constantia" w:cs="Constantia"/>
          <w:color w:val="000000"/>
        </w:rPr>
        <w:t>da el 07 de marzo de 2025 y dado que el tiempo de la legislatura no permitió la discusión del proyecto en la legislatura 2024-2025, la iniciativa se presentó nuevamente en julio de 2025 con algunos ajustes que orientan el articulado de mejor manera recogie</w:t>
      </w:r>
      <w:r>
        <w:rPr>
          <w:rFonts w:ascii="Constantia" w:eastAsia="Constantia" w:hAnsi="Constantia" w:cs="Constantia"/>
          <w:color w:val="000000"/>
        </w:rPr>
        <w:t>ndo el conocimiento al que se llegó por cuenta del anterior proyecto. </w:t>
      </w:r>
    </w:p>
    <w:p w14:paraId="2141D347"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El mecanismo procesal para garantizar la doble conformidad judicial no se ha integrado aún al ordenamiento jurídico colombiano y representa un rezago normativo que no ha sido atendido p</w:t>
      </w:r>
      <w:r>
        <w:rPr>
          <w:rFonts w:ascii="Constantia" w:eastAsia="Constantia" w:hAnsi="Constantia" w:cs="Constantia"/>
          <w:color w:val="000000"/>
        </w:rPr>
        <w:t xml:space="preserve">or el Congreso de la República a pesar de que desde 2018 con el Acto legislativo 01/2018 se implementó la garantía a nivel constitucional. Por cuenta del sinnúmero de casos que se presentaron ante juez constitucional para salvaguardar la garantía de doble </w:t>
      </w:r>
      <w:r>
        <w:rPr>
          <w:rFonts w:ascii="Constantia" w:eastAsia="Constantia" w:hAnsi="Constantia" w:cs="Constantia"/>
          <w:color w:val="000000"/>
        </w:rPr>
        <w:t>conformidad la Corte Constitucional debió unificar su jurisprudencia en la materia y ha exhortado al Congreso a regular para que coexista correctamente con los recursos extraordinarios, a través de las SU-792 de 2014, SU-217 de 2019 y SU-006 y 07 de 2023.</w:t>
      </w:r>
    </w:p>
    <w:p w14:paraId="75531FD5" w14:textId="77777777" w:rsidR="005417E1" w:rsidRDefault="00D17363">
      <w:pPr>
        <w:spacing w:before="240" w:after="240" w:line="276" w:lineRule="auto"/>
        <w:jc w:val="both"/>
        <w:rPr>
          <w:rFonts w:ascii="Constantia" w:eastAsia="Constantia" w:hAnsi="Constantia" w:cs="Constantia"/>
          <w:color w:val="000000"/>
        </w:rPr>
      </w:pPr>
      <w:r>
        <w:rPr>
          <w:rFonts w:ascii="Constantia" w:eastAsia="Constantia" w:hAnsi="Constantia" w:cs="Constantia"/>
          <w:color w:val="000000"/>
        </w:rPr>
        <w:t>A raíz de los vacíos normativos la Sala Penal de la Corte Suprema de Justicia al encontrarse con casos que ameritan la procedencia de un recurso para garantizar la doble conformidad resolvió a través de su propia jurisprudencia establecer la forma, el tiem</w:t>
      </w:r>
      <w:r>
        <w:rPr>
          <w:rFonts w:ascii="Constantia" w:eastAsia="Constantia" w:hAnsi="Constantia" w:cs="Constantia"/>
          <w:color w:val="000000"/>
        </w:rPr>
        <w:t>po y la oportunidad en que esta procedería. Se ofrecen en adelante algunas revisiones teóricas que justifican convencional, constitucional y legalmente la orientación del proyecto para que sirvan como elemento para la discusión en el seno del Congreso de l</w:t>
      </w:r>
      <w:r>
        <w:rPr>
          <w:rFonts w:ascii="Constantia" w:eastAsia="Constantia" w:hAnsi="Constantia" w:cs="Constantia"/>
          <w:color w:val="000000"/>
        </w:rPr>
        <w:t>a República. </w:t>
      </w:r>
    </w:p>
    <w:p w14:paraId="10F934CE" w14:textId="77777777" w:rsidR="005417E1" w:rsidRDefault="005417E1">
      <w:pPr>
        <w:spacing w:before="240" w:after="240" w:line="276" w:lineRule="auto"/>
        <w:jc w:val="both"/>
        <w:rPr>
          <w:rFonts w:ascii="Constantia" w:eastAsia="Constantia" w:hAnsi="Constantia" w:cs="Constantia"/>
        </w:rPr>
      </w:pPr>
    </w:p>
    <w:p w14:paraId="436B7137" w14:textId="77777777" w:rsidR="005417E1" w:rsidRDefault="00D17363">
      <w:pPr>
        <w:numPr>
          <w:ilvl w:val="0"/>
          <w:numId w:val="2"/>
        </w:numPr>
        <w:spacing w:before="240" w:after="240" w:line="276" w:lineRule="auto"/>
        <w:ind w:left="1440"/>
        <w:jc w:val="both"/>
        <w:rPr>
          <w:rFonts w:ascii="Constantia" w:eastAsia="Constantia" w:hAnsi="Constantia" w:cs="Constantia"/>
          <w:b/>
          <w:color w:val="000000"/>
        </w:rPr>
      </w:pPr>
      <w:r>
        <w:rPr>
          <w:rFonts w:ascii="Constantia" w:eastAsia="Constantia" w:hAnsi="Constantia" w:cs="Constantia"/>
          <w:b/>
          <w:color w:val="000000"/>
        </w:rPr>
        <w:lastRenderedPageBreak/>
        <w:t>JUSTIFICACIÓN DEL PROYECTO: </w:t>
      </w:r>
    </w:p>
    <w:p w14:paraId="0BE33588"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3.1 Teorización de la doble conforme, teleología y aplicación:</w:t>
      </w:r>
    </w:p>
    <w:p w14:paraId="26896120"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el art. 29 inc. 1º de la Constitución se reconoce la dimensión jurídico-objetiva del debido proceso. El concreto y efectivo ejercicio de este dere</w:t>
      </w:r>
      <w:r>
        <w:rPr>
          <w:rFonts w:ascii="Constantia" w:eastAsia="Constantia" w:hAnsi="Constantia" w:cs="Constantia"/>
          <w:color w:val="000000"/>
        </w:rPr>
        <w:t>cho presupone la configuración normativa de las formalidades esenciales que han de regir los procedimientos. Por ello, el art. 29 inc. 2º ídem preceptúa que nadie puede ser juzgado sino conforme a leyes preexistentes al acto que se le imputa y con observan</w:t>
      </w:r>
      <w:r>
        <w:rPr>
          <w:rFonts w:ascii="Constantia" w:eastAsia="Constantia" w:hAnsi="Constantia" w:cs="Constantia"/>
          <w:color w:val="000000"/>
        </w:rPr>
        <w:t>cia de las formas propias de cada juicio. En consecuencia, la delimitación del ámbito de protección del debido proceso ha de consultar el desarrollo legal pertinente.</w:t>
      </w:r>
    </w:p>
    <w:p w14:paraId="7F5FBD5F"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El ámbito de protección del derecho al debido proceso está demarcado, entonces, tanto por</w:t>
      </w:r>
      <w:r>
        <w:rPr>
          <w:rFonts w:ascii="Constantia" w:eastAsia="Constantia" w:hAnsi="Constantia" w:cs="Constantia"/>
          <w:color w:val="000000"/>
        </w:rPr>
        <w:t xml:space="preserve"> prescripciones constitucionales genéricas, como por la específica configuración legal de las formas propias de cada juicio, pues se trata de una garantía de marcada composición normativa.</w:t>
      </w:r>
    </w:p>
    <w:p w14:paraId="16F0E0EC"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Desde esa perspectiva, el Acto Legislativo Nº 01 de 2018, cuyo obje</w:t>
      </w:r>
      <w:r>
        <w:rPr>
          <w:rFonts w:ascii="Constantia" w:eastAsia="Constantia" w:hAnsi="Constantia" w:cs="Constantia"/>
          <w:color w:val="000000"/>
        </w:rPr>
        <w:t xml:space="preserve">to estriba en </w:t>
      </w:r>
      <w:r>
        <w:rPr>
          <w:rFonts w:ascii="Constantia" w:eastAsia="Constantia" w:hAnsi="Constantia" w:cs="Constantia"/>
          <w:i/>
          <w:color w:val="000000"/>
        </w:rPr>
        <w:t>“implementar el derecho a la doble instancia y a impugnar la primera sentencia condenatoria”</w:t>
      </w:r>
      <w:r>
        <w:rPr>
          <w:rFonts w:ascii="Constantia" w:eastAsia="Constantia" w:hAnsi="Constantia" w:cs="Constantia"/>
          <w:color w:val="000000"/>
        </w:rPr>
        <w:t xml:space="preserve"> en los procesos penales seguidos en contra de los aforados mencionados en el art. 235 de la Constitución, estableció las bases fundantes del debido p</w:t>
      </w:r>
      <w:r>
        <w:rPr>
          <w:rFonts w:ascii="Constantia" w:eastAsia="Constantia" w:hAnsi="Constantia" w:cs="Constantia"/>
          <w:color w:val="000000"/>
        </w:rPr>
        <w:t>roceso penal aplicado a aquéllos.</w:t>
      </w:r>
    </w:p>
    <w:p w14:paraId="31F17781"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Una de las máximas que rige esa competencia especial, asignada a la Corte Suprema de Justicia, en razón de la persona, es la garantía que existe en cabeza del procesado, de impugnar las decisiones judiciales emitidas en el</w:t>
      </w:r>
      <w:r>
        <w:rPr>
          <w:rFonts w:ascii="Constantia" w:eastAsia="Constantia" w:hAnsi="Constantia" w:cs="Constantia"/>
          <w:color w:val="000000"/>
        </w:rPr>
        <w:t xml:space="preserve"> curso del juicio. Y tal prerrogativa no sólo comprende la facultad de apelar la sentencia, sino los autos que, por desarrollo legal concreto, admiten el recurso de apelación en dicho trámite </w:t>
      </w:r>
      <w:r>
        <w:rPr>
          <w:rFonts w:ascii="Constantia" w:eastAsia="Constantia" w:hAnsi="Constantia" w:cs="Constantia"/>
          <w:i/>
          <w:color w:val="000000"/>
        </w:rPr>
        <w:t>-de juzgamiento-.</w:t>
      </w:r>
    </w:p>
    <w:p w14:paraId="17826B6E"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La teleología misma del Acto legislativo indic</w:t>
      </w:r>
      <w:r>
        <w:rPr>
          <w:rFonts w:ascii="Constantia" w:eastAsia="Constantia" w:hAnsi="Constantia" w:cs="Constantia"/>
          <w:color w:val="000000"/>
        </w:rPr>
        <w:t>a que el constituyente derivado implementó un juicio penal de doble instancia para aforados. El objeto mismo de la ley distingue entre el derecho a la doble instancia y la posibilidad de impugnar la primera sentencia condenatoria, garantías que, si bien so</w:t>
      </w:r>
      <w:r>
        <w:rPr>
          <w:rFonts w:ascii="Constantia" w:eastAsia="Constantia" w:hAnsi="Constantia" w:cs="Constantia"/>
          <w:color w:val="000000"/>
        </w:rPr>
        <w:t>n facetas del derecho de impugnación, tienen un distinto ámbito de aplicación.</w:t>
      </w:r>
      <w:r>
        <w:rPr>
          <w:rFonts w:ascii="Constantia" w:eastAsia="Constantia" w:hAnsi="Constantia" w:cs="Constantia"/>
          <w:color w:val="000000"/>
        </w:rPr>
        <w:tab/>
      </w:r>
    </w:p>
    <w:p w14:paraId="01600D18"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 xml:space="preserve">La doble instancia, en sí misma, implica la posibilidad de que las decisiones que emite el juez natural, en un primer nivel decisorio, sean objeto de revisión </w:t>
      </w:r>
      <w:r>
        <w:rPr>
          <w:rFonts w:ascii="Constantia" w:eastAsia="Constantia" w:hAnsi="Constantia" w:cs="Constantia"/>
          <w:i/>
          <w:color w:val="000000"/>
        </w:rPr>
        <w:t>-lato sensu-</w:t>
      </w:r>
      <w:r>
        <w:rPr>
          <w:rFonts w:ascii="Constantia" w:eastAsia="Constantia" w:hAnsi="Constantia" w:cs="Constantia"/>
          <w:color w:val="000000"/>
        </w:rPr>
        <w:t xml:space="preserve"> por </w:t>
      </w:r>
      <w:r>
        <w:rPr>
          <w:rFonts w:ascii="Constantia" w:eastAsia="Constantia" w:hAnsi="Constantia" w:cs="Constantia"/>
          <w:color w:val="000000"/>
        </w:rPr>
        <w:t xml:space="preserve">un juez distinto y superior en el plano decisorio. Es la ley la que, </w:t>
      </w:r>
      <w:r>
        <w:rPr>
          <w:rFonts w:ascii="Constantia" w:eastAsia="Constantia" w:hAnsi="Constantia" w:cs="Constantia"/>
          <w:color w:val="000000"/>
        </w:rPr>
        <w:lastRenderedPageBreak/>
        <w:t>entonces, especifica cuáles resoluciones judiciales pueden ser cuestionadas por la vía de la apelación, para que las conozca un juez de segunda instancia, sin que tal nivel de revisión, e</w:t>
      </w:r>
      <w:r>
        <w:rPr>
          <w:rFonts w:ascii="Constantia" w:eastAsia="Constantia" w:hAnsi="Constantia" w:cs="Constantia"/>
          <w:color w:val="000000"/>
        </w:rPr>
        <w:t>n esencia, pertenezca o derive de la decisión que resuelve el fondo de la controversia, conocida como sentencia.</w:t>
      </w:r>
    </w:p>
    <w:p w14:paraId="5CE2F2B0"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Por su parte, el derecho a impugnar la primera sentencia condenatoria, más que un asunto de estructura, es una garantía instituida a favor de q</w:t>
      </w:r>
      <w:r>
        <w:rPr>
          <w:rFonts w:ascii="Constantia" w:eastAsia="Constantia" w:hAnsi="Constantia" w:cs="Constantia"/>
          <w:color w:val="000000"/>
        </w:rPr>
        <w:t>uien es declarado penalmente responsable, al margen de la instancia en que es condenado; de esa manera, se pretende que la presunción de inocencia que cobija a toda persona deba pasar por un doble filtro -</w:t>
      </w:r>
      <w:r>
        <w:rPr>
          <w:rFonts w:ascii="Constantia" w:eastAsia="Constantia" w:hAnsi="Constantia" w:cs="Constantia"/>
          <w:i/>
          <w:color w:val="000000"/>
        </w:rPr>
        <w:t>ordinario-</w:t>
      </w:r>
      <w:r>
        <w:rPr>
          <w:rFonts w:ascii="Constantia" w:eastAsia="Constantia" w:hAnsi="Constantia" w:cs="Constantia"/>
          <w:color w:val="000000"/>
        </w:rPr>
        <w:t xml:space="preserve"> de revisión, antes de ser desvirtuada me</w:t>
      </w:r>
      <w:r>
        <w:rPr>
          <w:rFonts w:ascii="Constantia" w:eastAsia="Constantia" w:hAnsi="Constantia" w:cs="Constantia"/>
          <w:color w:val="000000"/>
        </w:rPr>
        <w:t>diante declaratoria judicial.</w:t>
      </w:r>
    </w:p>
    <w:p w14:paraId="098520C9"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un juicio de dos instancias, entonces, se permite apelar la sentencia, así como determinados autos, por aspectos estructurales. Allí no importa, si se trata de la sentencia, el sentido de la decisión, sino la posibilidad de revisión por una instancia su</w:t>
      </w:r>
      <w:r>
        <w:rPr>
          <w:rFonts w:ascii="Constantia" w:eastAsia="Constantia" w:hAnsi="Constantia" w:cs="Constantia"/>
          <w:color w:val="000000"/>
        </w:rPr>
        <w:t>perior, mientras que el derecho a impugnar el primer fallo de condena es una protección reforzada al derecho fundamental a la presunción de inocencia, concretado en la garantía de la doble conformidad.</w:t>
      </w:r>
    </w:p>
    <w:p w14:paraId="53476B9A"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El art. 1º inc. 3º  de la Carta Política, al definir l</w:t>
      </w:r>
      <w:r>
        <w:rPr>
          <w:rFonts w:ascii="Constantia" w:eastAsia="Constantia" w:hAnsi="Constantia" w:cs="Constantia"/>
          <w:color w:val="000000"/>
        </w:rPr>
        <w:t>a competencia de la Sala de Casación Penal de la Corte, preceptúa que esta última conocerá del recurso de apelación contra las sentencias que profiera la Sala Especial de Primera Instancia. Empero, con ello no quiere significarse, como podría entenderse co</w:t>
      </w:r>
      <w:r>
        <w:rPr>
          <w:rFonts w:ascii="Constantia" w:eastAsia="Constantia" w:hAnsi="Constantia" w:cs="Constantia"/>
          <w:color w:val="000000"/>
        </w:rPr>
        <w:t xml:space="preserve">n una mera lectura literal de la norma, apartada de la teleología del acto legislativo y de sus demás disposiciones, que contra las demás decisiones interlocutorias dictadas por la Sala de Primera Instancia no proceda la apelación. No. En seguida, el inc. </w:t>
      </w:r>
      <w:r>
        <w:rPr>
          <w:rFonts w:ascii="Constantia" w:eastAsia="Constantia" w:hAnsi="Constantia" w:cs="Constantia"/>
          <w:color w:val="000000"/>
        </w:rPr>
        <w:t>4º ídem clarifica que la primera condena podrá ser impugnada.</w:t>
      </w:r>
    </w:p>
    <w:p w14:paraId="75F7CFB4"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Ello muestra que, para el constituyente, el mecanismo de impugnación está atado a la sentencia de naturaleza condenatoria, mientras que la apelación se predica de esa y de las demás decisiones i</w:t>
      </w:r>
      <w:r>
        <w:rPr>
          <w:rFonts w:ascii="Constantia" w:eastAsia="Constantia" w:hAnsi="Constantia" w:cs="Constantia"/>
          <w:color w:val="000000"/>
        </w:rPr>
        <w:t xml:space="preserve">nterlocutorias que se puedan adoptar en el juicio ante la Sala Especial de Primera Instancia, que se caracteriza por tener doble instancia. Así se aduce del art. 3º ídem, que al modificar el art. 235-3 de la Constitución, establece que son atribuciones de </w:t>
      </w:r>
      <w:r>
        <w:rPr>
          <w:rFonts w:ascii="Constantia" w:eastAsia="Constantia" w:hAnsi="Constantia" w:cs="Constantia"/>
          <w:color w:val="000000"/>
        </w:rPr>
        <w:t>la Corte Suprema de Justicia conocer, por una parte, del derecho de impugnación y, por otra, del recurso de apelación en materia penal, conforme lo determine la ley.</w:t>
      </w:r>
    </w:p>
    <w:p w14:paraId="3EE827A6"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 xml:space="preserve">Además, el modificado art. 235-6 C.P dispone que es función de la Sala de Casación Penal resolver los recursos de apelación que se interpongan contra las decisiones proferidas por la Sala Especial de Primera Instancia de la Corte Suprema de Justicia. </w:t>
      </w:r>
      <w:r>
        <w:rPr>
          <w:rFonts w:ascii="Constantia" w:eastAsia="Constantia" w:hAnsi="Constantia" w:cs="Constantia"/>
          <w:color w:val="000000"/>
        </w:rPr>
        <w:lastRenderedPageBreak/>
        <w:t xml:space="preserve">Allí </w:t>
      </w:r>
      <w:r>
        <w:rPr>
          <w:rFonts w:ascii="Constantia" w:eastAsia="Constantia" w:hAnsi="Constantia" w:cs="Constantia"/>
          <w:color w:val="000000"/>
        </w:rPr>
        <w:t>no hay distinción alguna en punto de la naturaleza de la decisión, por lo que mal podría concluirse que sólo la sentencia admite apelación, cuando, como lo determina la ley, en un juicio penal de doble instancia, también son apelables los autos interlocuto</w:t>
      </w:r>
      <w:r>
        <w:rPr>
          <w:rFonts w:ascii="Constantia" w:eastAsia="Constantia" w:hAnsi="Constantia" w:cs="Constantia"/>
          <w:color w:val="000000"/>
        </w:rPr>
        <w:t>rios (arts. 176 inc. 3º de la Ley 906 de 2004 y 191 de la Ley 600 de 2000).</w:t>
      </w:r>
    </w:p>
    <w:p w14:paraId="6B45DD80"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Tales razones conducen a interpretar que cuando el art. 234 inc. 2º de la Constitución, modificado por el art. 2º del Acto Legislativo, dispone que ha de garantizarse la doble inst</w:t>
      </w:r>
      <w:r>
        <w:rPr>
          <w:rFonts w:ascii="Constantia" w:eastAsia="Constantia" w:hAnsi="Constantia" w:cs="Constantia"/>
          <w:color w:val="000000"/>
        </w:rPr>
        <w:t>ancia de la sentencia, no quiere decir que sólo sea ésta decisión la que admita el recurso de apelación, pues la norma seguidamente indica que también debe garantizarse el derecho a la impugnación de la primera condena, lo que, atendidas las anteriores raz</w:t>
      </w:r>
      <w:r>
        <w:rPr>
          <w:rFonts w:ascii="Constantia" w:eastAsia="Constantia" w:hAnsi="Constantia" w:cs="Constantia"/>
          <w:color w:val="000000"/>
        </w:rPr>
        <w:t>ones, implica que, por ser un juicio de doble instancia, contra toda sentencia procede apelación; ello, sin perjuicio de la garantía de que la primera condena, pueda ser impugnada. </w:t>
      </w:r>
    </w:p>
    <w:p w14:paraId="724F5B4D"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3.2 Problemas que pretende solventar la iniciativa:</w:t>
      </w:r>
    </w:p>
    <w:p w14:paraId="696E9713"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Mediante sentencia C-7</w:t>
      </w:r>
      <w:r>
        <w:rPr>
          <w:rFonts w:ascii="Constantia" w:eastAsia="Constantia" w:hAnsi="Constantia" w:cs="Constantia"/>
          <w:color w:val="000000"/>
        </w:rPr>
        <w:t>92 de 2014, la Corte Constitucional señaló que, en virtud del artículo 29 de la Constitución Nacional, toda persona condenada por primera vez tiene derecho a impugnar la sentencia ante el superior funcional del juez que la profirió. Posteriormente, en sent</w:t>
      </w:r>
      <w:r>
        <w:rPr>
          <w:rFonts w:ascii="Constantia" w:eastAsia="Constantia" w:hAnsi="Constantia" w:cs="Constantia"/>
          <w:color w:val="000000"/>
        </w:rPr>
        <w:t>encia de unificación SU-215 de 2016, dicha Corporación precisó que el derecho a impugnar la primera condena operaba también respecto de las proferidas por los tribunales superiores, razón por la cual, el Legislador expidió el Acto Legislativo 01 de 2018, m</w:t>
      </w:r>
      <w:r>
        <w:rPr>
          <w:rFonts w:ascii="Constantia" w:eastAsia="Constantia" w:hAnsi="Constantia" w:cs="Constantia"/>
          <w:color w:val="000000"/>
        </w:rPr>
        <w:t>odificatorio del artículo 235 de la Carta Política, atribuyendo a la Corte Suprema de Justicia la competencia para conocer de la impugnación especial de la primera condena dictada por los tribunales.</w:t>
      </w:r>
    </w:p>
    <w:p w14:paraId="52A6A8B7"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El Acto Legislativo 01 de 2018 desarrolló constitucional</w:t>
      </w:r>
      <w:r>
        <w:rPr>
          <w:rFonts w:ascii="Constantia" w:eastAsia="Constantia" w:hAnsi="Constantia" w:cs="Constantia"/>
          <w:color w:val="000000"/>
        </w:rPr>
        <w:t>mente la garantía de doble conformidad y le dio a la Corte Suprema de justicia facultades  para ocuparse de la primera sentencia condenatoria en casos de aforados, también determinó que toda primera sentencia condenatoria debía ser revisada, o sea, extendi</w:t>
      </w:r>
      <w:r>
        <w:rPr>
          <w:rFonts w:ascii="Constantia" w:eastAsia="Constantia" w:hAnsi="Constantia" w:cs="Constantia"/>
          <w:color w:val="000000"/>
        </w:rPr>
        <w:t>ó esa garantía a todos los ciudadanos sin hacer distinción por su fuero, . Sin embargo, a más de cinco años de expedido el acto legislativo y de que las Salas de Instrucción y de Primera Instancia entrarán en funcionamiento, no hay una norma que se ocupe d</w:t>
      </w:r>
      <w:r>
        <w:rPr>
          <w:rFonts w:ascii="Constantia" w:eastAsia="Constantia" w:hAnsi="Constantia" w:cs="Constantia"/>
          <w:color w:val="000000"/>
        </w:rPr>
        <w:t>el procedimiento en particular.</w:t>
      </w:r>
    </w:p>
    <w:p w14:paraId="5EA35523"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Es decir, aunque la existencia de la garantía no se discute, lo que sí está en discusión es cómo se tramita el recurso de impugnación especial, lo que ha generado que muchas personas acudan a la acción constitucional de tute</w:t>
      </w:r>
      <w:r>
        <w:rPr>
          <w:rFonts w:ascii="Constantia" w:eastAsia="Constantia" w:hAnsi="Constantia" w:cs="Constantia"/>
          <w:color w:val="000000"/>
        </w:rPr>
        <w:t xml:space="preserve">la cuando consideran </w:t>
      </w:r>
      <w:r>
        <w:rPr>
          <w:rFonts w:ascii="Constantia" w:eastAsia="Constantia" w:hAnsi="Constantia" w:cs="Constantia"/>
          <w:color w:val="000000"/>
        </w:rPr>
        <w:lastRenderedPageBreak/>
        <w:t>que su derecho a que les revisen la primera sentencia condenatoria ha sido pretermitido o se ha confundido con la oportunidad para presentar los recursos extraordinarios de Casación y Revisión. </w:t>
      </w:r>
    </w:p>
    <w:p w14:paraId="3B0605B1"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De ese problema dio cuenta la Corte Cons</w:t>
      </w:r>
      <w:r>
        <w:rPr>
          <w:rFonts w:ascii="Constantia" w:eastAsia="Constantia" w:hAnsi="Constantia" w:cs="Constantia"/>
          <w:color w:val="000000"/>
        </w:rPr>
        <w:t>titucional en su más reciente providencia al respecto, la SU 007 de 2023 en la que se ocupó de unificar los precedentes que ya venía fijando en sentencias previas y por cuenta de lo que exhortó una vez más al Gobierno Nacional y al Congreso de la República</w:t>
      </w:r>
      <w:r>
        <w:rPr>
          <w:rFonts w:ascii="Constantia" w:eastAsia="Constantia" w:hAnsi="Constantia" w:cs="Constantia"/>
          <w:color w:val="000000"/>
        </w:rPr>
        <w:t xml:space="preserve"> para que regularan la materia “</w:t>
      </w:r>
      <w:r>
        <w:rPr>
          <w:rFonts w:ascii="Constantia" w:eastAsia="Constantia" w:hAnsi="Constantia" w:cs="Constantia"/>
          <w:i/>
          <w:color w:val="000000"/>
        </w:rPr>
        <w:t>TERCERO.- Reiterar el exhorto al Congreso de la República efectuado por esta Corte en las sentencias SU-792 de 2014, SU-217 de 2019 y SU-006 de 2023, para que, en ejercicio de su potestad de configuración legislativa, regule</w:t>
      </w:r>
      <w:r>
        <w:rPr>
          <w:rFonts w:ascii="Constantia" w:eastAsia="Constantia" w:hAnsi="Constantia" w:cs="Constantia"/>
          <w:i/>
          <w:color w:val="000000"/>
        </w:rPr>
        <w:t xml:space="preserve"> de manera integral el mecanismo que garantice el ejercicio del derecho a impugnar la sentencia condenatoria en material penal.”</w:t>
      </w:r>
    </w:p>
    <w:p w14:paraId="7115394E"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respuesta a estas normas, y a falta de una ley que lo reglamente efectivamente, el vacío normativo ha sido solventado parcia</w:t>
      </w:r>
      <w:r>
        <w:rPr>
          <w:rFonts w:ascii="Constantia" w:eastAsia="Constantia" w:hAnsi="Constantia" w:cs="Constantia"/>
          <w:color w:val="000000"/>
        </w:rPr>
        <w:t>lmente por la Corte Suprema de justicia a través de sus providencias: </w:t>
      </w:r>
    </w:p>
    <w:p w14:paraId="564455A7"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Por ahora, las reglas fijadas por el alto tribunal de la jurisdicción ordinaria son: </w:t>
      </w:r>
    </w:p>
    <w:p w14:paraId="1696CC4D"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(i) Se mantiene incólume el derecho de las partes e  intervinientes a interponer el recurso extraor</w:t>
      </w:r>
      <w:r>
        <w:rPr>
          <w:rFonts w:ascii="Constantia" w:eastAsia="Constantia" w:hAnsi="Constantia" w:cs="Constantia"/>
          <w:i/>
          <w:color w:val="000000"/>
        </w:rPr>
        <w:t>dinario de casación, en los términos y con los presupuestos establecidos en la ley y desarrollados por la jurisprudencia.</w:t>
      </w:r>
    </w:p>
    <w:p w14:paraId="32285747"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 xml:space="preserve">(ii) Sin embargo, el procesado condenado por primera vez en segunda instancia por los tribunales superiores tendrá derecho a impugnar </w:t>
      </w:r>
      <w:r>
        <w:rPr>
          <w:rFonts w:ascii="Constantia" w:eastAsia="Constantia" w:hAnsi="Constantia" w:cs="Constantia"/>
          <w:i/>
          <w:color w:val="000000"/>
        </w:rPr>
        <w:t>el fallo, ya sea directamente o por conducto de apoderado, cuya resolución corresponde a la Sala de Casación Penal.</w:t>
      </w:r>
    </w:p>
    <w:p w14:paraId="50A90633"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(iii) La sustentación de esa impugnación estará desprovista de la técnica asociada al recurso de casación, aunque seguirá la lógica propia d</w:t>
      </w:r>
      <w:r>
        <w:rPr>
          <w:rFonts w:ascii="Constantia" w:eastAsia="Constantia" w:hAnsi="Constantia" w:cs="Constantia"/>
          <w:i/>
          <w:color w:val="000000"/>
        </w:rPr>
        <w:t>el recurso de apelación. Por ende, las razones del disenso constituyen el límite de la Corte para resolver.</w:t>
      </w:r>
    </w:p>
    <w:p w14:paraId="7F5FB056"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(iv) El tribunal, bajo esos presupuestos, advertirá en el fallo, que, frente a la decisión que contenga la primera condena, cabe la impugnación espe</w:t>
      </w:r>
      <w:r>
        <w:rPr>
          <w:rFonts w:ascii="Constantia" w:eastAsia="Constantia" w:hAnsi="Constantia" w:cs="Constantia"/>
          <w:i/>
          <w:color w:val="000000"/>
        </w:rPr>
        <w:t>cial para el procesado y/o su defensor, mientras que las demás partes e intervinientes tienen la posibilidad de interponer recurso de casación.</w:t>
      </w:r>
    </w:p>
    <w:p w14:paraId="14FCBCF8"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(v) Los términos procesales de la casación rigen los de la impugnación especial. De manera que el plazo para pro</w:t>
      </w:r>
      <w:r>
        <w:rPr>
          <w:rFonts w:ascii="Constantia" w:eastAsia="Constantia" w:hAnsi="Constantia" w:cs="Constantia"/>
          <w:i/>
          <w:color w:val="000000"/>
        </w:rPr>
        <w:t>mover y sustentar la impugnación especial será el mismo que prevé el Código de Procedimiento Penal, según la ley que haya regido el proceso -600 de 2000 o 906 de 2004-, para el recurso de casación.</w:t>
      </w:r>
    </w:p>
    <w:p w14:paraId="3EEA34F5"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lastRenderedPageBreak/>
        <w:t>(vi) Si el procesado condenado por primera vez, o su defen</w:t>
      </w:r>
      <w:r>
        <w:rPr>
          <w:rFonts w:ascii="Constantia" w:eastAsia="Constantia" w:hAnsi="Constantia" w:cs="Constantia"/>
          <w:i/>
          <w:color w:val="000000"/>
        </w:rPr>
        <w:t>sor, proponen impugnación especial, el tribunal, respecto de ella, correrá el traslado a los no recurrentes para que se pronuncien, conforme ocurre cuando se interpone el recurso de apelación contra sentencias, según los artículos 194 y 179 de las leyes 60</w:t>
      </w:r>
      <w:r>
        <w:rPr>
          <w:rFonts w:ascii="Constantia" w:eastAsia="Constantia" w:hAnsi="Constantia" w:cs="Constantia"/>
          <w:i/>
          <w:color w:val="000000"/>
        </w:rPr>
        <w:t>0 y 906, respectivamente. Luego de lo cual, remitirá el expediente a la Sala de Casación Penal.</w:t>
      </w:r>
    </w:p>
    <w:p w14:paraId="39FE840E"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 xml:space="preserve">(vii) Si además de la impugnación especial promovida por el acusado o su defensor, otro sujeto procesal o interviniente promovió casación, esta Sala procederá, </w:t>
      </w:r>
      <w:r>
        <w:rPr>
          <w:rFonts w:ascii="Constantia" w:eastAsia="Constantia" w:hAnsi="Constantia" w:cs="Constantia"/>
          <w:i/>
          <w:color w:val="000000"/>
        </w:rPr>
        <w:t>primero, a calificar la demanda de casación.”</w:t>
      </w:r>
    </w:p>
    <w:p w14:paraId="741CD9E2"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También precisó la Sala que al acusado condenado en segunda instancia por los tribunales, le corresponde acudir a la impugnación especial y al mismo tiempo en casación, sólo cuando frente a delitos conexos en r</w:t>
      </w:r>
      <w:r>
        <w:rPr>
          <w:rFonts w:ascii="Constantia" w:eastAsia="Constantia" w:hAnsi="Constantia" w:cs="Constantia"/>
          <w:color w:val="000000"/>
        </w:rPr>
        <w:t>elación con uno de ellos se ha cumplido con el principio de doble conformidad judicial. De esta manera lo estableció:</w:t>
      </w:r>
    </w:p>
    <w:p w14:paraId="11DFBA46"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 xml:space="preserve">“Si se trata de una sentencia del Tribunal en la cual se condena por primera vez, puede interponerse la impugnación especial o el recurso </w:t>
      </w:r>
      <w:r>
        <w:rPr>
          <w:rFonts w:ascii="Constantia" w:eastAsia="Constantia" w:hAnsi="Constantia" w:cs="Constantia"/>
          <w:i/>
          <w:color w:val="000000"/>
        </w:rPr>
        <w:t>extraordinario de casación. Este último está disponible solo para los sujetos procesales distintos al procesado y su defensor. El procesado y el defensor, se precisa, cuenta con el derecho a recurrir a través de la impugnación la primera condena, y solamen</w:t>
      </w:r>
      <w:r>
        <w:rPr>
          <w:rFonts w:ascii="Constantia" w:eastAsia="Constantia" w:hAnsi="Constantia" w:cs="Constantia"/>
          <w:i/>
          <w:color w:val="000000"/>
        </w:rPr>
        <w:t>te les es dable recurrir simultáneamente en casación en hipótesis de delitos conexos respecto de los cuales se ha declarado la responsabilidad penal del procesado en primera y segunda instancia”.</w:t>
      </w:r>
    </w:p>
    <w:p w14:paraId="4EF9DCFB"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3.3 Marco Convencional: </w:t>
      </w:r>
    </w:p>
    <w:p w14:paraId="629F62F2"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El artículo 2.2 literal h) de la Co</w:t>
      </w:r>
      <w:r>
        <w:rPr>
          <w:rFonts w:ascii="Constantia" w:eastAsia="Constantia" w:hAnsi="Constantia" w:cs="Constantia"/>
          <w:color w:val="000000"/>
        </w:rPr>
        <w:t>nvención americana sobre derechos humanos establece que toda persona inculpada de un delito durante el proceso tiene derecho, en plena igualdad a las siguientes garantías mínimas: “</w:t>
      </w:r>
      <w:r>
        <w:rPr>
          <w:rFonts w:ascii="Constantia" w:eastAsia="Constantia" w:hAnsi="Constantia" w:cs="Constantia"/>
          <w:i/>
          <w:color w:val="000000"/>
        </w:rPr>
        <w:t xml:space="preserve"> (...) derecho de recurrir el fallo ante juez o tribunal superior” </w:t>
      </w:r>
      <w:r>
        <w:rPr>
          <w:rFonts w:ascii="Constantia" w:eastAsia="Constantia" w:hAnsi="Constantia" w:cs="Constantia"/>
          <w:color w:val="000000"/>
        </w:rPr>
        <w:t>De igual</w:t>
      </w:r>
      <w:r>
        <w:rPr>
          <w:rFonts w:ascii="Constantia" w:eastAsia="Constantia" w:hAnsi="Constantia" w:cs="Constantia"/>
          <w:color w:val="000000"/>
        </w:rPr>
        <w:t xml:space="preserve"> manera, el artículo 14 inc. 5 del PActo Internacional de Derechos Civiles y Políticos dispone que “</w:t>
      </w:r>
      <w:r>
        <w:rPr>
          <w:rFonts w:ascii="Constantia" w:eastAsia="Constantia" w:hAnsi="Constantia" w:cs="Constantia"/>
          <w:i/>
          <w:color w:val="000000"/>
        </w:rPr>
        <w:t>5. Toda persona declarada culpable de un delito tendrá derecho a que el fallo condenatorio y la pena que se le haya impuesto sean sometidos a un tribunal su</w:t>
      </w:r>
      <w:r>
        <w:rPr>
          <w:rFonts w:ascii="Constantia" w:eastAsia="Constantia" w:hAnsi="Constantia" w:cs="Constantia"/>
          <w:i/>
          <w:color w:val="000000"/>
        </w:rPr>
        <w:t>perior, conforme a lo prescrito por la ley.”</w:t>
      </w:r>
    </w:p>
    <w:p w14:paraId="17A3CEFC"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Al respecto, la Corte Interamericana de Derechos Humanos ha desarrollado la garantía de doble conforme o doble conformidad judicial a lo largo de su jurisprudencia, señalando por ejemplo que no solo es una garan</w:t>
      </w:r>
      <w:r>
        <w:rPr>
          <w:rFonts w:ascii="Constantia" w:eastAsia="Constantia" w:hAnsi="Constantia" w:cs="Constantia"/>
          <w:color w:val="000000"/>
        </w:rPr>
        <w:t xml:space="preserve">tía fundamental </w:t>
      </w:r>
      <w:r>
        <w:rPr>
          <w:rFonts w:ascii="Constantia" w:eastAsia="Constantia" w:hAnsi="Constantia" w:cs="Constantia"/>
          <w:color w:val="000000"/>
        </w:rPr>
        <w:lastRenderedPageBreak/>
        <w:t>que hace parte integral del dibo proceso sino que es un deber del Estado que a la vez determina la legitimidad de sus decisiones: </w:t>
      </w:r>
    </w:p>
    <w:p w14:paraId="024850B3"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“89. La doble conformidad judicial, expresada mediante la íntegra revisión del fallo condenatorio, confirma e</w:t>
      </w:r>
      <w:r>
        <w:rPr>
          <w:rFonts w:ascii="Constantia" w:eastAsia="Constantia" w:hAnsi="Constantia" w:cs="Constantia"/>
          <w:i/>
          <w:color w:val="000000"/>
        </w:rPr>
        <w:t>l fundamento y otorga mayor credibilidad al acto jurisdiccional del Estado, y al mismo tiempo brinda mayor seguridad y tutela a los derechos del condenado.</w:t>
      </w:r>
    </w:p>
    <w:p w14:paraId="2B4C8A84"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90. Si bien los Estados tienen un margen de apreciación para regular el ejercicio de ese recurso, no</w:t>
      </w:r>
      <w:r>
        <w:rPr>
          <w:rFonts w:ascii="Constantia" w:eastAsia="Constantia" w:hAnsi="Constantia" w:cs="Constantia"/>
          <w:i/>
          <w:color w:val="000000"/>
        </w:rPr>
        <w:t xml:space="preserve"> pueden establecer restricciones o requisitos que infrinjan la esencia misma del derecho de recurrir del fallo</w:t>
      </w:r>
      <w:hyperlink r:id="rId8" w:anchor="_ftn49">
        <w:r>
          <w:rPr>
            <w:rFonts w:ascii="Constantia" w:eastAsia="Constantia" w:hAnsi="Constantia" w:cs="Constantia"/>
            <w:i/>
            <w:color w:val="000000"/>
            <w:u w:val="single"/>
          </w:rPr>
          <w:t>[49]</w:t>
        </w:r>
      </w:hyperlink>
      <w:r>
        <w:rPr>
          <w:rFonts w:ascii="Constantia" w:eastAsia="Constantia" w:hAnsi="Constantia" w:cs="Constantia"/>
          <w:i/>
          <w:color w:val="000000"/>
        </w:rPr>
        <w:t>. El</w:t>
      </w:r>
      <w:r>
        <w:rPr>
          <w:rFonts w:ascii="Constantia" w:eastAsia="Constantia" w:hAnsi="Constantia" w:cs="Constantia"/>
          <w:i/>
          <w:color w:val="000000"/>
          <w:u w:val="single"/>
        </w:rPr>
        <w:t xml:space="preserve"> Estado puede establecer fueros especiales para el enjuiciamiento de altos funcionarios públicos, y esos fueros son compatibles, en principio, con la Convención Americana (supra párr. 74 ). Sin embargo, aun en estos supuestos el Estado debe per</w:t>
      </w:r>
      <w:r>
        <w:rPr>
          <w:rFonts w:ascii="Constantia" w:eastAsia="Constantia" w:hAnsi="Constantia" w:cs="Constantia"/>
          <w:i/>
          <w:color w:val="000000"/>
          <w:u w:val="single"/>
        </w:rPr>
        <w:t xml:space="preserve">mitir que el justiciable cuente con la posibilidad de recurrir del fallo condenatorio. </w:t>
      </w:r>
      <w:r>
        <w:rPr>
          <w:rFonts w:ascii="Constantia" w:eastAsia="Constantia" w:hAnsi="Constantia" w:cs="Constantia"/>
          <w:i/>
          <w:color w:val="000000"/>
        </w:rPr>
        <w:t>Así sucedería, por ejemplo, si se dispusiera que el juzgamiento en primera instancia estará a cargo del presidente o de una sala del órgano colegiado superior y el conoc</w:t>
      </w:r>
      <w:r>
        <w:rPr>
          <w:rFonts w:ascii="Constantia" w:eastAsia="Constantia" w:hAnsi="Constantia" w:cs="Constantia"/>
          <w:i/>
          <w:color w:val="000000"/>
        </w:rPr>
        <w:t>imiento de la impugnación corresponderá al pleno de dicho órgano, con exclusión de quienes ya se pronunciaron sobre el caso.” (subrayas y negrilla fuera de texto)</w:t>
      </w:r>
    </w:p>
    <w:p w14:paraId="326AB93B"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De lo anterior, que la garantía a que el primer fallo condenatorio sea revisado le sea otorga</w:t>
      </w:r>
      <w:r>
        <w:rPr>
          <w:rFonts w:ascii="Constantia" w:eastAsia="Constantia" w:hAnsi="Constantia" w:cs="Constantia"/>
          <w:color w:val="000000"/>
        </w:rPr>
        <w:t>da a todos los ciudadanos incluso sin distinción de que tengan fuero, así lo ha reiterado en su jurisprudencia vinculante: “</w:t>
      </w:r>
      <w:r>
        <w:rPr>
          <w:rFonts w:ascii="Constantia" w:eastAsia="Constantia" w:hAnsi="Constantia" w:cs="Constantia"/>
          <w:i/>
          <w:color w:val="000000"/>
        </w:rPr>
        <w:t>La jurisprudencia de esta Corte ha sido enfática al señalar que el derecho a impugnar el fallo busca proteger el derecho de defensa,</w:t>
      </w:r>
      <w:r>
        <w:rPr>
          <w:rFonts w:ascii="Constantia" w:eastAsia="Constantia" w:hAnsi="Constantia" w:cs="Constantia"/>
          <w:i/>
          <w:color w:val="000000"/>
        </w:rPr>
        <w:t xml:space="preserve"> en la medida en que otorga la posibilidad de interponer un recurso para evitar que quede firme una decisión adoptada en un procedimiento viciado y que contiene errores que ocasionarán un perjuicio indebido a los intereses del justiciable</w:t>
      </w:r>
      <w:r>
        <w:rPr>
          <w:rFonts w:ascii="Constantia" w:eastAsia="Constantia" w:hAnsi="Constantia" w:cs="Constantia"/>
          <w:i/>
          <w:color w:val="000000"/>
          <w:u w:val="single"/>
        </w:rPr>
        <w:t>. La doble conform</w:t>
      </w:r>
      <w:r>
        <w:rPr>
          <w:rFonts w:ascii="Constantia" w:eastAsia="Constantia" w:hAnsi="Constantia" w:cs="Constantia"/>
          <w:i/>
          <w:color w:val="000000"/>
          <w:u w:val="single"/>
        </w:rPr>
        <w:t>idad judicial, expresada mediante la íntegra revisión del fallo condenatorio o sancionatorio, confirma el fundamento y otorga mayor credibilidad al acto jurisdiccional del Estado, y al mismo tiempo brinda mayor seguridad y tutela a los derechos del condena</w:t>
      </w:r>
      <w:r>
        <w:rPr>
          <w:rFonts w:ascii="Constantia" w:eastAsia="Constantia" w:hAnsi="Constantia" w:cs="Constantia"/>
          <w:i/>
          <w:color w:val="000000"/>
          <w:u w:val="single"/>
        </w:rPr>
        <w:t>do</w:t>
      </w:r>
      <w:r>
        <w:rPr>
          <w:rFonts w:ascii="Constantia" w:eastAsia="Constantia" w:hAnsi="Constantia" w:cs="Constantia"/>
          <w:i/>
          <w:color w:val="000000"/>
        </w:rPr>
        <w:t>. En este sentido, el derecho a recurrir del fallo, reconocido por la Convención, no se satisface con la mera existencia de un órgano de grado superior al que juzgó y emitió el fallo condenatorio o sancionatorio, ante el que la persona afectada tenga o p</w:t>
      </w:r>
      <w:r>
        <w:rPr>
          <w:rFonts w:ascii="Constantia" w:eastAsia="Constantia" w:hAnsi="Constantia" w:cs="Constantia"/>
          <w:i/>
          <w:color w:val="000000"/>
        </w:rPr>
        <w:t>ueda tener acceso. Para que haya una verdadera revisión de la sentencia, en el sentido requerido por la Convención, es preciso que el tribunal superior reúna las características jurisdiccionales que lo legitiman para conocer del caso concreto Sobre este pu</w:t>
      </w:r>
      <w:r>
        <w:rPr>
          <w:rFonts w:ascii="Constantia" w:eastAsia="Constantia" w:hAnsi="Constantia" w:cs="Constantia"/>
          <w:i/>
          <w:color w:val="000000"/>
        </w:rPr>
        <w:t xml:space="preserve">nto, si bien los Estados tienen cierta discrecionalidad para regular el ejercicio de ese recurso, no pueden establecer restricciones o requisitos que infrinjan la esencia misma del derecho a recurrir del </w:t>
      </w:r>
      <w:r>
        <w:rPr>
          <w:rFonts w:ascii="Constantia" w:eastAsia="Constantia" w:hAnsi="Constantia" w:cs="Constantia"/>
          <w:i/>
          <w:color w:val="000000"/>
        </w:rPr>
        <w:lastRenderedPageBreak/>
        <w:t>fallo. La posibilidad de "recurrir del fallo" debe s</w:t>
      </w:r>
      <w:r>
        <w:rPr>
          <w:rFonts w:ascii="Constantia" w:eastAsia="Constantia" w:hAnsi="Constantia" w:cs="Constantia"/>
          <w:i/>
          <w:color w:val="000000"/>
        </w:rPr>
        <w:t>er accesible, sin requerir mayores complejidades que tornen ilusorio este derecho</w:t>
      </w:r>
      <w:r>
        <w:rPr>
          <w:rFonts w:ascii="Constantia" w:eastAsia="Constantia" w:hAnsi="Constantia" w:cs="Constantia"/>
          <w:color w:val="000000"/>
        </w:rPr>
        <w:t>.</w:t>
      </w:r>
      <w:r>
        <w:rPr>
          <w:rFonts w:ascii="Constantia" w:eastAsia="Constantia" w:hAnsi="Constantia" w:cs="Constantia"/>
          <w:i/>
          <w:color w:val="000000"/>
        </w:rPr>
        <w:t>(subrayas y negrilla fuera de texto)</w:t>
      </w:r>
    </w:p>
    <w:p w14:paraId="4350DDA8"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Sobre el mecanismo para procurar la materialización del derecho a impugnar la primera sentencia condenatoria ha expresado la Corte IDH en el caso Mohamed Vs. Argentina que: “Debe entenderse que, independientemente del régimen o sistema recursivo que adopte</w:t>
      </w:r>
      <w:r>
        <w:rPr>
          <w:rFonts w:ascii="Constantia" w:eastAsia="Constantia" w:hAnsi="Constantia" w:cs="Constantia"/>
          <w:color w:val="000000"/>
        </w:rPr>
        <w:t xml:space="preserve">n los Estados Partes y de la denominación que den al medio de impugnación de la sentencia condenatoria, </w:t>
      </w:r>
      <w:r>
        <w:rPr>
          <w:rFonts w:ascii="Constantia" w:eastAsia="Constantia" w:hAnsi="Constantia" w:cs="Constantia"/>
          <w:i/>
          <w:color w:val="000000"/>
          <w:u w:val="single"/>
        </w:rPr>
        <w:t>para que éste sea eficaz debe constituir un medio adecuado para procurar la corrección de una condena errónea. Ello requiere que pueda analizar cuestion</w:t>
      </w:r>
      <w:r>
        <w:rPr>
          <w:rFonts w:ascii="Constantia" w:eastAsia="Constantia" w:hAnsi="Constantia" w:cs="Constantia"/>
          <w:i/>
          <w:color w:val="000000"/>
          <w:u w:val="single"/>
        </w:rPr>
        <w:t xml:space="preserve">es fácticas, probatorias y jurídicas en que se basa la sentencia impugnada, puesto que en la actividad jurisdiccional existe una interdependencia entre las determinaciones fácticas y la aplicación del derecho, de forma tal que una errónea determinación de </w:t>
      </w:r>
      <w:r>
        <w:rPr>
          <w:rFonts w:ascii="Constantia" w:eastAsia="Constantia" w:hAnsi="Constantia" w:cs="Constantia"/>
          <w:i/>
          <w:color w:val="000000"/>
          <w:u w:val="single"/>
        </w:rPr>
        <w:t>los hechos implica una errada o indebida aplicación del derecho.</w:t>
      </w:r>
      <w:r>
        <w:rPr>
          <w:rFonts w:ascii="Constantia" w:eastAsia="Constantia" w:hAnsi="Constantia" w:cs="Constantia"/>
          <w:color w:val="000000"/>
        </w:rPr>
        <w:t xml:space="preserve"> Consecuentemente, las causales de procedencia del recurso deben posibilitar un control amplio de los aspectos impugnados de la sentencia condenatoria.</w:t>
      </w:r>
      <w:r>
        <w:rPr>
          <w:rFonts w:ascii="Constantia" w:eastAsia="Constantia" w:hAnsi="Constantia" w:cs="Constantia"/>
          <w:i/>
          <w:color w:val="000000"/>
        </w:rPr>
        <w:t>(subrayas y negrilla fuera de texto)</w:t>
      </w:r>
    </w:p>
    <w:p w14:paraId="10544BFA"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Adem</w:t>
      </w:r>
      <w:r>
        <w:rPr>
          <w:rFonts w:ascii="Constantia" w:eastAsia="Constantia" w:hAnsi="Constantia" w:cs="Constantia"/>
          <w:color w:val="000000"/>
        </w:rPr>
        <w:t>ás el Tribunal considera que, en la regulación que los Estados desarrollen en sus respectivos regímenes recursivos, deben asegurar que dicho recurso contra la sentencia condenatoria respete las garantías procesales mínimas que, bajo el artículo 8 de la Con</w:t>
      </w:r>
      <w:r>
        <w:rPr>
          <w:rFonts w:ascii="Constantia" w:eastAsia="Constantia" w:hAnsi="Constantia" w:cs="Constantia"/>
          <w:color w:val="000000"/>
        </w:rPr>
        <w:t>vención, resulten relevantes y necesarias para resolver los agravios planteados por el recurrente, lo cual no implica que deba realizarse un nuevo juicio oral, razón por la que en el presente proyecto de ley se dispone que las razones del disenso constitui</w:t>
      </w:r>
      <w:r>
        <w:rPr>
          <w:rFonts w:ascii="Constantia" w:eastAsia="Constantia" w:hAnsi="Constantia" w:cs="Constantia"/>
          <w:color w:val="000000"/>
        </w:rPr>
        <w:t>rán el límite para resolver de la autoridad judicial revisora de la primera condena, materia que se cohesiona con lo dispuesto por la Sala Penal de nuestra Corte Suprema de Justicia</w:t>
      </w:r>
    </w:p>
    <w:p w14:paraId="0CF37669"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ese sentido, también hay que tener en cuenta que el pasado 3 de junio d</w:t>
      </w:r>
      <w:r>
        <w:rPr>
          <w:rFonts w:ascii="Constantia" w:eastAsia="Constantia" w:hAnsi="Constantia" w:cs="Constantia"/>
          <w:color w:val="000000"/>
        </w:rPr>
        <w:t>el 2024 se condenó al estado colombiano por la vulneración de esta garantía al ciudadano Saulo Arboleda Gómez. Este ciudadano, luego de fungir como Ministro de Comunicaciones de Colombia, fue juzgado y condenado en un proceso de única instancia llevado por</w:t>
      </w:r>
      <w:r>
        <w:rPr>
          <w:rFonts w:ascii="Constantia" w:eastAsia="Constantia" w:hAnsi="Constantia" w:cs="Constantia"/>
          <w:color w:val="000000"/>
        </w:rPr>
        <w:t xml:space="preserve"> la Corte Suprema de Justicia. La Corte Interamericana determinó que, de la lectura del artículo 8.2.h de la Convención Americana de Derechos Humanos no se establece ninguna clase de excepción, pues se dispone claramente que el derecho de recurrir del fall</w:t>
      </w:r>
      <w:r>
        <w:rPr>
          <w:rFonts w:ascii="Constantia" w:eastAsia="Constantia" w:hAnsi="Constantia" w:cs="Constantia"/>
          <w:color w:val="000000"/>
        </w:rPr>
        <w:t>o ante juez o tribunal superior existe, y no hace ninguna distinción sobre el tipo de tribunal que emitiría la decisión a apelarse, ni sobre la persona que pueden ser acreedores de estas garantías. Dice la Corte:</w:t>
      </w:r>
    </w:p>
    <w:p w14:paraId="731263A5"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lastRenderedPageBreak/>
        <w:t>Esta Corte se ha referido en su jurispruden</w:t>
      </w:r>
      <w:r>
        <w:rPr>
          <w:rFonts w:ascii="Constantia" w:eastAsia="Constantia" w:hAnsi="Constantia" w:cs="Constantia"/>
          <w:i/>
          <w:color w:val="000000"/>
        </w:rPr>
        <w:t>cia, de manera constante, al alcance y contenido del artículo 8.2.h) de la Convención, y ha establecido que es el derecho a recurrir el fallo condenatorio es una garantía básica prevista en la Convención Americana y que aplica a todas las personas y proces</w:t>
      </w:r>
      <w:r>
        <w:rPr>
          <w:rFonts w:ascii="Constantia" w:eastAsia="Constantia" w:hAnsi="Constantia" w:cs="Constantia"/>
          <w:i/>
          <w:color w:val="000000"/>
        </w:rPr>
        <w:t>os. El Tribunal ha entendido que dicho derecho consiste en una garantía mínima y primordial que “se debe respetar en el marco del debido proceso legal, en aras de permitir que una sentencia adversa pueda ser revisada por un juez o tribunal distinto y de su</w:t>
      </w:r>
      <w:r>
        <w:rPr>
          <w:rFonts w:ascii="Constantia" w:eastAsia="Constantia" w:hAnsi="Constantia" w:cs="Constantia"/>
          <w:i/>
          <w:color w:val="000000"/>
        </w:rPr>
        <w:t xml:space="preserve">perior jerarquía […]”. </w:t>
      </w:r>
      <w:r>
        <w:rPr>
          <w:rFonts w:ascii="Constantia" w:eastAsia="Constantia" w:hAnsi="Constantia" w:cs="Constantia"/>
          <w:i/>
          <w:color w:val="000000"/>
          <w:u w:val="single"/>
        </w:rPr>
        <w:t>Con el fin evitar que quien esté incurso en un proceso no sea sometido a decisiones arbitrarias, la Corte ha interpretado que el derecho a recurrir el fallo debe garantizarse a todo aquél que es condenado. Por lo mismo, la Corte ha c</w:t>
      </w:r>
      <w:r>
        <w:rPr>
          <w:rFonts w:ascii="Constantia" w:eastAsia="Constantia" w:hAnsi="Constantia" w:cs="Constantia"/>
          <w:i/>
          <w:color w:val="000000"/>
          <w:u w:val="single"/>
        </w:rPr>
        <w:t>onsiderado el derecho a recurrir el fallo como una de las garantías mínimas que tiene toda persona que es sometida a una investigación y proceso penal.</w:t>
      </w:r>
    </w:p>
    <w:p w14:paraId="2385B86A"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La Corte también ha determinado, que el artículo 8.2.h) de la Convención se refiere a un recurso ordinario, accesible y eficaz, el cual permita analizar las cuestiones fácticas, probatorias y jurídicas en que se basa la sentencia impugnada, posibilitando u</w:t>
      </w:r>
      <w:r>
        <w:rPr>
          <w:rFonts w:ascii="Constantia" w:eastAsia="Constantia" w:hAnsi="Constantia" w:cs="Constantia"/>
          <w:i/>
          <w:color w:val="000000"/>
        </w:rPr>
        <w:t>n control amplio de los aspectos impugnados de la sentencia condenatoria. (...)</w:t>
      </w:r>
    </w:p>
    <w:p w14:paraId="5C007D91"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 xml:space="preserve">Particularmente con el artículo 8.2.h), encuentra esta Corte que la disposición no establece ningún tipo de excepción en su aplicación, el texto de la misma establece de forma </w:t>
      </w:r>
      <w:r>
        <w:rPr>
          <w:rFonts w:ascii="Constantia" w:eastAsia="Constantia" w:hAnsi="Constantia" w:cs="Constantia"/>
          <w:i/>
          <w:color w:val="000000"/>
        </w:rPr>
        <w:t xml:space="preserve">clara que existe “el derecho de recurrir del fallo ante juez o tribunal superior” y no hace ninguna distinción con relación al tipo de tribunal que emitiría la decisión a apelarse, ni excluye a persona alguna de dicha garantía. Por lo expuesto, a criterio </w:t>
      </w:r>
      <w:r>
        <w:rPr>
          <w:rFonts w:ascii="Constantia" w:eastAsia="Constantia" w:hAnsi="Constantia" w:cs="Constantia"/>
          <w:i/>
          <w:color w:val="000000"/>
        </w:rPr>
        <w:t>de la Corte, dicha obligación aplica a todos los procesos e incluso a los de “aforados constitucionales”.  (subrayas y negrilla fuera de texto)</w:t>
      </w:r>
    </w:p>
    <w:p w14:paraId="19DE1352"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ese sentido, la Corte concluye que la obligación del Estado de proporcionar un recurso judicial, no se reduce</w:t>
      </w:r>
      <w:r>
        <w:rPr>
          <w:rFonts w:ascii="Constantia" w:eastAsia="Constantia" w:hAnsi="Constantia" w:cs="Constantia"/>
          <w:color w:val="000000"/>
        </w:rPr>
        <w:t xml:space="preserve"> a la mera existencia de los tribunales o procedimientos formales, sino también incluye la obligación de adoptar medidas positivas para garantizar que los recursos proporcionados son verdaderamente efectivos. En ese sentido, se menciona que no basta que fo</w:t>
      </w:r>
      <w:r>
        <w:rPr>
          <w:rFonts w:ascii="Constantia" w:eastAsia="Constantia" w:hAnsi="Constantia" w:cs="Constantia"/>
          <w:color w:val="000000"/>
        </w:rPr>
        <w:t>rmalmente existan algunos recursos, sino que para que estos demuestren ser efectivos, deben poder dar resultados en lo que tiene que ver con vulneraciones de derechos humanos. Por lo tanto, la Corte considera que si se vulneraron los derechos de Saulo Arbo</w:t>
      </w:r>
      <w:r>
        <w:rPr>
          <w:rFonts w:ascii="Constantia" w:eastAsia="Constantia" w:hAnsi="Constantia" w:cs="Constantia"/>
          <w:color w:val="000000"/>
        </w:rPr>
        <w:t>leda. </w:t>
      </w:r>
    </w:p>
    <w:p w14:paraId="7797FCFD"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 xml:space="preserve">A pesar de determinar esta vulneración de Derechos, la Corte posteriormente desarrolla como positivo la adopción y regulación del derecho con posterioridad en los hechos. Destacan, entre otras cosas, la sentencia C-792 de 2014, el Acto </w:t>
      </w:r>
      <w:r>
        <w:rPr>
          <w:rFonts w:ascii="Constantia" w:eastAsia="Constantia" w:hAnsi="Constantia" w:cs="Constantia"/>
          <w:color w:val="000000"/>
        </w:rPr>
        <w:lastRenderedPageBreak/>
        <w:t>Legislativo 0</w:t>
      </w:r>
      <w:r>
        <w:rPr>
          <w:rFonts w:ascii="Constantia" w:eastAsia="Constantia" w:hAnsi="Constantia" w:cs="Constantia"/>
          <w:color w:val="000000"/>
        </w:rPr>
        <w:t>1 de 2018 y la sentencia SU-146 de 2020 que ordenó retrotraer los efectos de la garantía de la impugnación especial al 30 de enero de 2014. Concluye la Corte:</w:t>
      </w:r>
    </w:p>
    <w:p w14:paraId="1CD16BB3"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La Corte destaca los esfuerzos realizados por el Estado, sin embargo, encuentra que al momento en</w:t>
      </w:r>
      <w:r>
        <w:rPr>
          <w:rFonts w:ascii="Constantia" w:eastAsia="Constantia" w:hAnsi="Constantia" w:cs="Constantia"/>
          <w:i/>
          <w:color w:val="000000"/>
        </w:rPr>
        <w:t xml:space="preserve"> que ocurrieron los hechos de este caso, Colombia no había adoptado las medidas necesarias para la adecuada implementación de sus obligaciones convencionales en el ordenamiento jurídico interno. En primer lugar, la legislación colombiana no establecía el d</w:t>
      </w:r>
      <w:r>
        <w:rPr>
          <w:rFonts w:ascii="Constantia" w:eastAsia="Constantia" w:hAnsi="Constantia" w:cs="Constantia"/>
          <w:i/>
          <w:color w:val="000000"/>
        </w:rPr>
        <w:t>erecho a recurrir el fallo de los “aforados constitucionales”; y en segundo lugar, las autoridades judiciales no garantizaron este derecho por medio de los recursos existentes. Por esa razón, la Corte estima que, al momento que ocurrieron los hechos del pr</w:t>
      </w:r>
      <w:r>
        <w:rPr>
          <w:rFonts w:ascii="Constantia" w:eastAsia="Constantia" w:hAnsi="Constantia" w:cs="Constantia"/>
          <w:i/>
          <w:color w:val="000000"/>
        </w:rPr>
        <w:t>esente caso, Colombia no cumplió con su deber de adoptar disposiciones de derecho interno y es responsable por la violación del artículo 2 de la Convención.</w:t>
      </w:r>
    </w:p>
    <w:p w14:paraId="291D7A2F"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Al existir un fallo de esta naturaleza, llama la atención de que internacionalmente el país también</w:t>
      </w:r>
      <w:r>
        <w:rPr>
          <w:rFonts w:ascii="Constantia" w:eastAsia="Constantia" w:hAnsi="Constantia" w:cs="Constantia"/>
          <w:color w:val="000000"/>
        </w:rPr>
        <w:t xml:space="preserve"> debe actualizarse normativamente. Al margen de que la Corte no ordenó al Estado que hubiera un proceso de modificación normativa, es claro que a la fecha el llamado a regular es el Congreso de la República. Si bien las sentencias de la Corte Constituciona</w:t>
      </w:r>
      <w:r>
        <w:rPr>
          <w:rFonts w:ascii="Constantia" w:eastAsia="Constantia" w:hAnsi="Constantia" w:cs="Constantia"/>
          <w:color w:val="000000"/>
        </w:rPr>
        <w:t>l y la Corte Suprema han hecho mucho a la luz del marco interpretativo del Acto Legislativo 01 de 2018, el órgano democrático por excelencia también debe sacar una ley para blindar esta garantía y para ocuparse de aspectos que la jurisprudencia no ha podid</w:t>
      </w:r>
      <w:r>
        <w:rPr>
          <w:rFonts w:ascii="Constantia" w:eastAsia="Constantia" w:hAnsi="Constantia" w:cs="Constantia"/>
          <w:color w:val="000000"/>
        </w:rPr>
        <w:t>o. </w:t>
      </w:r>
    </w:p>
    <w:p w14:paraId="6AE533D7"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3.4. Marco Constitucional: </w:t>
      </w:r>
    </w:p>
    <w:p w14:paraId="7602A5FB"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La Constitución Política de 1991 establece como una de las garantías procesales ancladas al debido proceso la impugnación de las sentencias, de acuerdo a la mención que aparece en el artículo 29 del texto constitucional. Est</w:t>
      </w:r>
      <w:r>
        <w:rPr>
          <w:rFonts w:ascii="Constantia" w:eastAsia="Constantia" w:hAnsi="Constantia" w:cs="Constantia"/>
          <w:color w:val="000000"/>
        </w:rPr>
        <w:t>o también aparece a la luz de otros textos internacionales que hacen parte del bloque de constitucionalidad como el Pacto Internacional de Derechos Civiles y Políticos y la Convención Americana de Derechos Humanos. </w:t>
      </w:r>
    </w:p>
    <w:p w14:paraId="5EA67728"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Lo anterior no obstante tuvo una paradoj</w:t>
      </w:r>
      <w:r>
        <w:rPr>
          <w:rFonts w:ascii="Constantia" w:eastAsia="Constantia" w:hAnsi="Constantia" w:cs="Constantia"/>
          <w:color w:val="000000"/>
        </w:rPr>
        <w:t>a durante mucho tiempo: Los procesos en única instancia que se adelantaban en la Corte Suprema de Justicia contra aforados constitucionales. Hay que tener en cuenta que, justamente analizando esta situación por medio de diferentes pronunciamientos, la Cort</w:t>
      </w:r>
      <w:r>
        <w:rPr>
          <w:rFonts w:ascii="Constantia" w:eastAsia="Constantia" w:hAnsi="Constantia" w:cs="Constantia"/>
          <w:color w:val="000000"/>
        </w:rPr>
        <w:t>e Constitucional varió su línea jurisprudencial y encontró que sí resultaba problemático desde el debido proceso que, ante una sentencia condenatoria que se de en segunda instancia no existiera un mecanismo para impugnarla. </w:t>
      </w:r>
    </w:p>
    <w:p w14:paraId="333625CE"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lastRenderedPageBreak/>
        <w:t>Por este motivo, resulta pertin</w:t>
      </w:r>
      <w:r>
        <w:rPr>
          <w:rFonts w:ascii="Constantia" w:eastAsia="Constantia" w:hAnsi="Constantia" w:cs="Constantia"/>
          <w:color w:val="000000"/>
        </w:rPr>
        <w:t>ente traer a colación la línea jurisprudencial que desarrolló la Corte Constitucional hasta la sentencia C-792 de 2014 analizando el juicio penal a los aforados constitucionales en única instancia, así como los elementos que le permitieron cambiar la línea</w:t>
      </w:r>
      <w:r>
        <w:rPr>
          <w:rFonts w:ascii="Constantia" w:eastAsia="Constantia" w:hAnsi="Constantia" w:cs="Constantia"/>
          <w:color w:val="000000"/>
        </w:rPr>
        <w:t xml:space="preserve"> jurisprudencial y empezar a analizar la doble conformidad. Hay que tener claro que, si bien la Corte Constitucional ha analizado la doble conformidad principalmente en el caso de aforados constitucionales, este es un derecho que se consagra ante toda la c</w:t>
      </w:r>
      <w:r>
        <w:rPr>
          <w:rFonts w:ascii="Constantia" w:eastAsia="Constantia" w:hAnsi="Constantia" w:cs="Constantia"/>
          <w:color w:val="000000"/>
        </w:rPr>
        <w:t>iudadanía y cuya aplicación aún no ha sido regulada por el legislador, a pesar de los exhortos de la Corte Constitucional. </w:t>
      </w:r>
    </w:p>
    <w:p w14:paraId="3F55155F"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ese sentido, en primer lugar se hablará acerca de tres épocas diferentes: La primera época en la cual la Corte Constitucional con</w:t>
      </w:r>
      <w:r>
        <w:rPr>
          <w:rFonts w:ascii="Constantia" w:eastAsia="Constantia" w:hAnsi="Constantia" w:cs="Constantia"/>
          <w:color w:val="000000"/>
        </w:rPr>
        <w:t>sideraba ajustado a la Constitución Política el que un juicio penal hacía aforados constitucionales se desarrollara en única instancia ante la Corte Suprema de Justicia; la segunda época que habla de los cambios que se avecinaron a la luz de la Sentencia C</w:t>
      </w:r>
      <w:r>
        <w:rPr>
          <w:rFonts w:ascii="Constantia" w:eastAsia="Constantia" w:hAnsi="Constantia" w:cs="Constantia"/>
          <w:color w:val="000000"/>
        </w:rPr>
        <w:t>-792 de 2014; y finalmente la tercera época que tiene como punto de origen el Acto Legislativo 01 de 2018.</w:t>
      </w:r>
    </w:p>
    <w:p w14:paraId="3E21A691" w14:textId="77777777" w:rsidR="005417E1" w:rsidRDefault="00D17363">
      <w:pPr>
        <w:numPr>
          <w:ilvl w:val="0"/>
          <w:numId w:val="4"/>
        </w:numPr>
        <w:pBdr>
          <w:top w:val="nil"/>
          <w:left w:val="nil"/>
          <w:bottom w:val="nil"/>
          <w:right w:val="nil"/>
          <w:between w:val="nil"/>
        </w:pBdr>
        <w:spacing w:before="240" w:after="240" w:line="276" w:lineRule="auto"/>
        <w:jc w:val="both"/>
        <w:rPr>
          <w:rFonts w:ascii="Times New Roman" w:eastAsia="Times New Roman" w:hAnsi="Times New Roman" w:cs="Times New Roman"/>
          <w:color w:val="000000"/>
        </w:rPr>
      </w:pPr>
      <w:r>
        <w:rPr>
          <w:rFonts w:ascii="Constantia" w:eastAsia="Constantia" w:hAnsi="Constantia" w:cs="Constantia"/>
          <w:b/>
          <w:color w:val="000000"/>
        </w:rPr>
        <w:t>Primera época: Juicio penal a aforados constitucionales en única instancia.</w:t>
      </w:r>
    </w:p>
    <w:p w14:paraId="2BFFE656"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La sentencia C-142 de 1993 abrió la línea jurisprudencial que avaló const</w:t>
      </w:r>
      <w:r>
        <w:rPr>
          <w:rFonts w:ascii="Constantia" w:eastAsia="Constantia" w:hAnsi="Constantia" w:cs="Constantia"/>
          <w:color w:val="000000"/>
        </w:rPr>
        <w:t xml:space="preserve">itucionalmente el juzgamiento en única instancia a aforados constitucionales. En ese momento, la Corte Constitucional resolvió una demanda contra varias disposiciones del Código Penal, del Código Penal Militar y de los estatutos de procedimiento penal del </w:t>
      </w:r>
      <w:r>
        <w:rPr>
          <w:rFonts w:ascii="Constantia" w:eastAsia="Constantia" w:hAnsi="Constantia" w:cs="Constantia"/>
          <w:color w:val="000000"/>
        </w:rPr>
        <w:t>momento que, preveían en términos generales la competencia de la Corte Suprema de Justicia para conocer procesos penales contra aforados en única instancia. Para la persona demandante, las normas desconocían los artículos 29 y 31 de la Constitución, el art</w:t>
      </w:r>
      <w:r>
        <w:rPr>
          <w:rFonts w:ascii="Constantia" w:eastAsia="Constantia" w:hAnsi="Constantia" w:cs="Constantia"/>
          <w:color w:val="000000"/>
        </w:rPr>
        <w:t>ículo 14 del PIDCP y el artículo 8 de la CADH en el sentido de que en los mencionados procesos de única instancia, no se permite realizar ninguna impugnación. </w:t>
      </w:r>
    </w:p>
    <w:p w14:paraId="13344D08"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La Corte Constitucional estableció que frente a estos procesos la impugnación era posible por me</w:t>
      </w:r>
      <w:r>
        <w:rPr>
          <w:rFonts w:ascii="Constantia" w:eastAsia="Constantia" w:hAnsi="Constantia" w:cs="Constantia"/>
          <w:color w:val="000000"/>
        </w:rPr>
        <w:t>dio de la acción de revisión, el recurso extraordinario de casación y la solicitud de nulidad. También mencionó que las decisiones de única instancia dictadas por la Corte Suprema de Justicia generaba dos ventajas: (I) la economía procesal y (ii) escapar a</w:t>
      </w:r>
      <w:r>
        <w:rPr>
          <w:rFonts w:ascii="Constantia" w:eastAsia="Constantia" w:hAnsi="Constantia" w:cs="Constantia"/>
          <w:color w:val="000000"/>
        </w:rPr>
        <w:t xml:space="preserve"> la posibilidad de errores a cargo de jueces y tribunales de menor jerarquía. En ese sentido, la Corte consideró que la persona procesada si podía impugnar la sentencia condenatoria en una u otra forma. </w:t>
      </w:r>
    </w:p>
    <w:p w14:paraId="587BF2F0"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lastRenderedPageBreak/>
        <w:t>La sentencia C-411 de 1997 resolvió la demanda prese</w:t>
      </w:r>
      <w:r>
        <w:rPr>
          <w:rFonts w:ascii="Constantia" w:eastAsia="Constantia" w:hAnsi="Constantia" w:cs="Constantia"/>
          <w:color w:val="000000"/>
        </w:rPr>
        <w:t>ntada contra apartados del artículo 68 del Código de Procedimiento Penal en donde se establecía que a la Sala de Casación Penal de la Corte Suprema de Justicia le correspondía, por una parte el conocimiento de la acción de revisión contra las sentencias de</w:t>
      </w:r>
      <w:r>
        <w:rPr>
          <w:rFonts w:ascii="Constantia" w:eastAsia="Constantia" w:hAnsi="Constantia" w:cs="Constantia"/>
          <w:color w:val="000000"/>
        </w:rPr>
        <w:t xml:space="preserve"> única instancia, y por otra parte el juzgamiento de los funcionarios descritos en el inciso 3 del numeral 6 del artículo 235 de la Constitución Política, es decir, los congresistas. La persona demandante consideró que al existir un trato diferenciado a lo</w:t>
      </w:r>
      <w:r>
        <w:rPr>
          <w:rFonts w:ascii="Constantia" w:eastAsia="Constantia" w:hAnsi="Constantia" w:cs="Constantia"/>
          <w:color w:val="000000"/>
        </w:rPr>
        <w:t>s congresistas frente a los demás ciudadanos, se les vulneraba el debido proceso. </w:t>
      </w:r>
    </w:p>
    <w:p w14:paraId="2623C285"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La Corte consideró en ese momento, que el competente para definir las instancias procesales era el legislador. De la misma manera, reiteró su jurisprudencia al mencionar que</w:t>
      </w:r>
      <w:r>
        <w:rPr>
          <w:rFonts w:ascii="Constantia" w:eastAsia="Constantia" w:hAnsi="Constantia" w:cs="Constantia"/>
          <w:color w:val="000000"/>
        </w:rPr>
        <w:t xml:space="preserve"> fue la misma Constitución la que había contemplado los procesos de única instancia respecto de aforados constitucionales. Y que, si existía alguna vulneración de derechos fundamentales por la existencia de alguna vía de hecho, podría adelantar la acción d</w:t>
      </w:r>
      <w:r>
        <w:rPr>
          <w:rFonts w:ascii="Constantia" w:eastAsia="Constantia" w:hAnsi="Constantia" w:cs="Constantia"/>
          <w:color w:val="000000"/>
        </w:rPr>
        <w:t>e tutela conforme a lo que la Corte Sostenía en la sentencia C-543 de 1992. </w:t>
      </w:r>
    </w:p>
    <w:p w14:paraId="44EA4048"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La sentencia C-934 de 2006 analizó la disposición contenida en el artículo 32 parcial de la Ley 906 de 2004 que regula las funciones de la Sala de Casación Penal de la Corte Supre</w:t>
      </w:r>
      <w:r>
        <w:rPr>
          <w:rFonts w:ascii="Constantia" w:eastAsia="Constantia" w:hAnsi="Constantia" w:cs="Constantia"/>
          <w:color w:val="000000"/>
        </w:rPr>
        <w:t>ma de Justicia. La H. Corte en su momento consideró el siguiente problema jurídico: “¿Vulnera los derechos al debido proceso y a la defensa, así como el principio de la doble instancia consagrados en el artículo 29 de la Carta y en tratados internacionales</w:t>
      </w:r>
      <w:r>
        <w:rPr>
          <w:rFonts w:ascii="Constantia" w:eastAsia="Constantia" w:hAnsi="Constantia" w:cs="Constantia"/>
          <w:color w:val="000000"/>
        </w:rPr>
        <w:t xml:space="preserve"> sobre derechos humanos ratificados por Colombia que hacen parte del bloque de constitucionalidad, el que los numerales 5, 6, 7 y 9 del artículo 32 de la Ley 906 de 2004 establezcan que los procesos penales que se sigan contra altos funcionarios del Estado</w:t>
      </w:r>
      <w:r>
        <w:rPr>
          <w:rFonts w:ascii="Constantia" w:eastAsia="Constantia" w:hAnsi="Constantia" w:cs="Constantia"/>
          <w:color w:val="000000"/>
        </w:rPr>
        <w:t xml:space="preserve"> enunciados en tales disposiciones son de competencia de la Sala Penal de la Corte Suprema de Justicia?”.</w:t>
      </w:r>
    </w:p>
    <w:p w14:paraId="69B0ED6F"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Luego de considerar que no existía el fenómeno de la cosa juzgada constitucional al estar la mencionada norma inscrita en un modelo penal de tendencia</w:t>
      </w:r>
      <w:r>
        <w:rPr>
          <w:rFonts w:ascii="Constantia" w:eastAsia="Constantia" w:hAnsi="Constantia" w:cs="Constantia"/>
          <w:color w:val="000000"/>
        </w:rPr>
        <w:t xml:space="preserve"> acusatoria y no inquisitorial, la Corte Constitucional reiteró su jurisprudencia y sostuvo que la doble instancia no era la única forma de garantizar el debido proceso y el derecho a la defensa de las personas procesadas. Por lo que consideró que la garan</w:t>
      </w:r>
      <w:r>
        <w:rPr>
          <w:rFonts w:ascii="Constantia" w:eastAsia="Constantia" w:hAnsi="Constantia" w:cs="Constantia"/>
          <w:color w:val="000000"/>
        </w:rPr>
        <w:t>tía de esos bienes jurídicos se materializaba en la definición de su caso por la Corte Suprema de Justicia. Y si bien la Corte no era infalible, habían otros mecanismos definidos para cuestionar las decisiones en única instancia. </w:t>
      </w:r>
    </w:p>
    <w:p w14:paraId="4391AF03"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 xml:space="preserve">En esa misma sentencia la Corte constató que no existía obligación internacional alguna que impidiera que en los modelos constitucionales no se pudiera dar ese </w:t>
      </w:r>
      <w:r>
        <w:rPr>
          <w:rFonts w:ascii="Constantia" w:eastAsia="Constantia" w:hAnsi="Constantia" w:cs="Constantia"/>
          <w:color w:val="000000"/>
        </w:rPr>
        <w:lastRenderedPageBreak/>
        <w:t>tratamiento a los aforados constitucionales. Respecto del caso Herrera Ulloa vs Costa Rica, la C</w:t>
      </w:r>
      <w:r>
        <w:rPr>
          <w:rFonts w:ascii="Constantia" w:eastAsia="Constantia" w:hAnsi="Constantia" w:cs="Constantia"/>
          <w:color w:val="000000"/>
        </w:rPr>
        <w:t>orte encontró que ese no era un asunto centrado en el especial juzgamiento realizado por los órganos judiciales de cierre. De la misma manera, mencionó que el Comité de Pacto de Derechos Civiles y Políticos tampoco se había referido estrictamente a la mate</w:t>
      </w:r>
      <w:r>
        <w:rPr>
          <w:rFonts w:ascii="Constantia" w:eastAsia="Constantia" w:hAnsi="Constantia" w:cs="Constantia"/>
          <w:color w:val="000000"/>
        </w:rPr>
        <w:t>ria cuestionada constitucionalmente. Señaló la Corte:</w:t>
      </w:r>
    </w:p>
    <w:p w14:paraId="46F3F150" w14:textId="77777777" w:rsidR="005417E1" w:rsidRDefault="00D17363">
      <w:pPr>
        <w:spacing w:before="240" w:after="240" w:line="276" w:lineRule="auto"/>
        <w:ind w:left="567" w:right="991"/>
        <w:jc w:val="both"/>
        <w:rPr>
          <w:rFonts w:ascii="Times New Roman" w:eastAsia="Times New Roman" w:hAnsi="Times New Roman" w:cs="Times New Roman"/>
        </w:rPr>
      </w:pPr>
      <w:r>
        <w:rPr>
          <w:rFonts w:ascii="Constantia" w:eastAsia="Constantia" w:hAnsi="Constantia" w:cs="Constantia"/>
          <w:color w:val="000000"/>
        </w:rPr>
        <w:t>“De lo anterior encuentra la Corte que la interpretación del art. 14.5. del Pacto Internacional de Derechos Civiles y Políticos y [del] art. 8.2 del Pacto de san José que han efectuado los órganos internacionales competentes, resulta armónica con la interp</w:t>
      </w:r>
      <w:r>
        <w:rPr>
          <w:rFonts w:ascii="Constantia" w:eastAsia="Constantia" w:hAnsi="Constantia" w:cs="Constantia"/>
          <w:color w:val="000000"/>
        </w:rPr>
        <w:t>retación que se ha hecho de los artículos 29 y 31 de la carta Política en materia de juzgamiento de los altos funcionarios del Estado, en la medida en que de dichos pronunciamientos no se deriva una regla según la cual en los juzgamientos de altos funciona</w:t>
      </w:r>
      <w:r>
        <w:rPr>
          <w:rFonts w:ascii="Constantia" w:eastAsia="Constantia" w:hAnsi="Constantia" w:cs="Constantia"/>
          <w:color w:val="000000"/>
        </w:rPr>
        <w:t>rios con fuero penal ante el órgano de cierre de la jurisdicción penal, deba establecerse una segunda instancia semejante a la que existe para otros juicios penales. Es decir, cada Estado goza de un amplio margen para configurar los procedimientos y diseña</w:t>
      </w:r>
      <w:r>
        <w:rPr>
          <w:rFonts w:ascii="Constantia" w:eastAsia="Constantia" w:hAnsi="Constantia" w:cs="Constantia"/>
          <w:color w:val="000000"/>
        </w:rPr>
        <w:t>r los mecanismos eficaces de protección de los derechos, sin que esté ordenado, según la jurisprudencia vigente, que en los casos de altos funcionarios aforados se prevea siempre la segunda instancia.” </w:t>
      </w:r>
    </w:p>
    <w:p w14:paraId="177D6122"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Es decir, en este momento, la Corte Constitucional de</w:t>
      </w:r>
      <w:r>
        <w:rPr>
          <w:rFonts w:ascii="Constantia" w:eastAsia="Constantia" w:hAnsi="Constantia" w:cs="Constantia"/>
          <w:color w:val="000000"/>
        </w:rPr>
        <w:t>sarrolló como el amplio margen de apreciación de los Estados les permitía diseñar y configurar procedimientos y mecanismos sin que le haya sido ordenado a un estado considerar la doble instancia. Otras decisiones con esta tesis  son las sentencias T-1246 d</w:t>
      </w:r>
      <w:r>
        <w:rPr>
          <w:rFonts w:ascii="Constantia" w:eastAsia="Constantia" w:hAnsi="Constantia" w:cs="Constantia"/>
          <w:color w:val="000000"/>
        </w:rPr>
        <w:t>e 2008, la SU-811 de 2009, la T-965 de 2009, la SU-195 de 2012 y la SU-198 de 2013. </w:t>
      </w:r>
    </w:p>
    <w:p w14:paraId="40040B60" w14:textId="77777777" w:rsidR="005417E1" w:rsidRDefault="00D17363">
      <w:pPr>
        <w:numPr>
          <w:ilvl w:val="0"/>
          <w:numId w:val="4"/>
        </w:numPr>
        <w:pBdr>
          <w:top w:val="nil"/>
          <w:left w:val="nil"/>
          <w:bottom w:val="nil"/>
          <w:right w:val="nil"/>
          <w:between w:val="nil"/>
        </w:pBdr>
        <w:spacing w:before="240" w:after="240" w:line="276" w:lineRule="auto"/>
        <w:jc w:val="both"/>
        <w:rPr>
          <w:rFonts w:ascii="Times New Roman" w:eastAsia="Times New Roman" w:hAnsi="Times New Roman" w:cs="Times New Roman"/>
          <w:color w:val="000000"/>
        </w:rPr>
      </w:pPr>
      <w:r>
        <w:rPr>
          <w:rFonts w:ascii="Constantia" w:eastAsia="Constantia" w:hAnsi="Constantia" w:cs="Constantia"/>
          <w:b/>
          <w:color w:val="000000"/>
        </w:rPr>
        <w:t>Segunda época: La Sentencia C-792 de 2014 y sus consecuencias sobre el ordenamiento jurídico. </w:t>
      </w:r>
    </w:p>
    <w:p w14:paraId="76353A4A"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Esta segunda época está determinada en gran parte por la actualización de lo</w:t>
      </w:r>
      <w:r>
        <w:rPr>
          <w:rFonts w:ascii="Constantia" w:eastAsia="Constantia" w:hAnsi="Constantia" w:cs="Constantia"/>
          <w:color w:val="000000"/>
        </w:rPr>
        <w:t xml:space="preserve">s estándares internacionales en la materia. No se puede leer la decisión que toma la Corte en la sentencia C-792 de 2014 sin analizar que, con posterioridad en el 2006 empezaron a existir sentencias y recomendaciones que analizaron como regímenes </w:t>
      </w:r>
      <w:r>
        <w:rPr>
          <w:rFonts w:ascii="Constantia" w:eastAsia="Constantia" w:hAnsi="Constantia" w:cs="Constantia"/>
          <w:color w:val="000000"/>
        </w:rPr>
        <w:lastRenderedPageBreak/>
        <w:t>legales c</w:t>
      </w:r>
      <w:r>
        <w:rPr>
          <w:rFonts w:ascii="Constantia" w:eastAsia="Constantia" w:hAnsi="Constantia" w:cs="Constantia"/>
          <w:color w:val="000000"/>
        </w:rPr>
        <w:t>omo el colombiano no satisfacían el debido proceso en lo concerniente a garantizar la impugnación y la segunda instancia. </w:t>
      </w:r>
    </w:p>
    <w:p w14:paraId="730A0F9B"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Por ejemplo, en el caso Barreto Leiva vs Venezuela la Corte Interamericana sostuvo que, si bien los Estados miembros podían establece</w:t>
      </w:r>
      <w:r>
        <w:rPr>
          <w:rFonts w:ascii="Constantia" w:eastAsia="Constantia" w:hAnsi="Constantia" w:cs="Constantia"/>
          <w:color w:val="000000"/>
        </w:rPr>
        <w:t>r un procedimiento de juzgamiento especial para algunos funcionarios, siempre debían respetar la doble conformidad y prever recursos efectivos para recurrir la condena. Por lo tanto, la Corte consideró que Venezuela vulneró la garantía judicial prevista en</w:t>
      </w:r>
      <w:r>
        <w:rPr>
          <w:rFonts w:ascii="Constantia" w:eastAsia="Constantia" w:hAnsi="Constantia" w:cs="Constantia"/>
          <w:color w:val="000000"/>
        </w:rPr>
        <w:t xml:space="preserve"> el artículo 8.2.h de la CADH debido a que el sentenciado no pudo impugnar el fallo. </w:t>
      </w:r>
    </w:p>
    <w:p w14:paraId="6405AEB5"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De la misma manera, en el fallo Liakat Ali Alibux vs Suriname de 2014, si se corresponde al caso de un aforado, por lo que la Corte Interamericana confirmó la postura que</w:t>
      </w:r>
      <w:r>
        <w:rPr>
          <w:rFonts w:ascii="Constantia" w:eastAsia="Constantia" w:hAnsi="Constantia" w:cs="Constantia"/>
          <w:color w:val="000000"/>
        </w:rPr>
        <w:t xml:space="preserve"> había hecho valer en el caso Barreto Leiva vs Venezuela. En este caso, el señor Liakat Ali Alibux que había sido ministro de Finanzas y de recursos naturales en Suriname, fue condenado en 2003 en única instancia por la Alta Corte de Justicia. Reflexionand</w:t>
      </w:r>
      <w:r>
        <w:rPr>
          <w:rFonts w:ascii="Constantia" w:eastAsia="Constantia" w:hAnsi="Constantia" w:cs="Constantia"/>
          <w:color w:val="000000"/>
        </w:rPr>
        <w:t>o sobre la práctica de los estados respecto al juzgamiento penal de altos funcionarios, la Corte Interamericana advirtió que si bien no era contrario al estándar interamericano de protección que se prevea un régimen especial de juzgamiento ante el tribunal</w:t>
      </w:r>
      <w:r>
        <w:rPr>
          <w:rFonts w:ascii="Constantia" w:eastAsia="Constantia" w:hAnsi="Constantia" w:cs="Constantia"/>
          <w:color w:val="000000"/>
        </w:rPr>
        <w:t xml:space="preserve"> de cierre, si podía serlo el hecho de que se previera una única instancia. Por lo tanto, la Corte exploró algunas de las fórmulas jurídicas que se habían adoptado para hacer efectivo el derecho a recurrir el fallo. </w:t>
      </w:r>
    </w:p>
    <w:p w14:paraId="490C4A44"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este sentido, el Tribunal constata q</w:t>
      </w:r>
      <w:r>
        <w:rPr>
          <w:rFonts w:ascii="Constantia" w:eastAsia="Constantia" w:hAnsi="Constantia" w:cs="Constantia"/>
          <w:color w:val="000000"/>
        </w:rPr>
        <w:t>ue ello se ha logrado a través de diversas prácticas, a saber: a) cuando una Sala Penal de la Corte Suprema de Justicia es la que juzga en primera instancia, para que luego el Pleno de la misma, sea la instancia que revise el recurso interpuesto; b) cuando</w:t>
      </w:r>
      <w:r>
        <w:rPr>
          <w:rFonts w:ascii="Constantia" w:eastAsia="Constantia" w:hAnsi="Constantia" w:cs="Constantia"/>
          <w:color w:val="000000"/>
        </w:rPr>
        <w:t xml:space="preserve"> una determinada Sala de la Corte Suprema juzga en primera instancia y otra Sala, de distinta composición, resuelve el recurso presentado, y c) cuando una Sala conformada por un número determinado de miembros juzga en primera instancia y otra Sala conforma</w:t>
      </w:r>
      <w:r>
        <w:rPr>
          <w:rFonts w:ascii="Constantia" w:eastAsia="Constantia" w:hAnsi="Constantia" w:cs="Constantia"/>
          <w:color w:val="000000"/>
        </w:rPr>
        <w:t>da por un número mayor de jueces que no participaron en el proceso de primera instancia, resuelva el recurso. Asimismo, el Tribunal observa que la composición de las instancias revisoras incluye miembros que no conocieron del caso en primera instancia y qu</w:t>
      </w:r>
      <w:r>
        <w:rPr>
          <w:rFonts w:ascii="Constantia" w:eastAsia="Constantia" w:hAnsi="Constantia" w:cs="Constantia"/>
          <w:color w:val="000000"/>
        </w:rPr>
        <w:t>e la decisión emitida por aquellas puede modificar o revocar el fallo revisado”.</w:t>
      </w:r>
    </w:p>
    <w:p w14:paraId="7789FDD9"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La Corte Interamericana también responde a los argumentos invocados por los Estados según los cuales, tanto el Sistema Universal como otros Sistemas regionales de Derechos Hum</w:t>
      </w:r>
      <w:r>
        <w:rPr>
          <w:rFonts w:ascii="Constantia" w:eastAsia="Constantia" w:hAnsi="Constantia" w:cs="Constantia"/>
          <w:color w:val="000000"/>
        </w:rPr>
        <w:t>anos permiten excepcionar la regla de la doble conformidad en algunos procesos. Dice la Corte Interamericana:</w:t>
      </w:r>
    </w:p>
    <w:p w14:paraId="03DC644C"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lastRenderedPageBreak/>
        <w:t>De igual manera, el Comité de Derechos Humanos ha señalado en sus decisiones que, el derecho a recurrir el fallo debe garantizarse sin importar el</w:t>
      </w:r>
      <w:r>
        <w:rPr>
          <w:rFonts w:ascii="Constantia" w:eastAsia="Constantia" w:hAnsi="Constantia" w:cs="Constantia"/>
          <w:color w:val="000000"/>
        </w:rPr>
        <w:t xml:space="preserve"> rango de la persona juzgada por lo que “si bien la legislación [de un] Estado Parte dispone en ciertas ocasiones que una persona en razón de su cargo sea juzgada por un tribunal de mayor jerarquía que el que naturalmente correspondería, esta circunstancia</w:t>
      </w:r>
      <w:r>
        <w:rPr>
          <w:rFonts w:ascii="Constantia" w:eastAsia="Constantia" w:hAnsi="Constantia" w:cs="Constantia"/>
          <w:color w:val="000000"/>
        </w:rPr>
        <w:t xml:space="preserve"> no puede por sí sola menoscabar el derecho del acusado a la revisión de su sentencia y condena por un tribunal”.</w:t>
      </w:r>
    </w:p>
    <w:p w14:paraId="390071D4"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Por otro lado, la Corte considera pertinente referirse a lo alegado por el Estado en el sentido que el juzgamiento de altos funcionarios públi</w:t>
      </w:r>
      <w:r>
        <w:rPr>
          <w:rFonts w:ascii="Constantia" w:eastAsia="Constantia" w:hAnsi="Constantia" w:cs="Constantia"/>
          <w:color w:val="000000"/>
        </w:rPr>
        <w:t xml:space="preserve">cos en primera y única instancia, no es, por definición, violatorio del principio generalmente aceptado del derecho a recurrir del fallo, con fundamento en la regulación permitida por ley de dicho derecho, según lo establecido por el artículo 14, inciso 5 </w:t>
      </w:r>
      <w:r>
        <w:rPr>
          <w:rFonts w:ascii="Constantia" w:eastAsia="Constantia" w:hAnsi="Constantia" w:cs="Constantia"/>
          <w:color w:val="000000"/>
        </w:rPr>
        <w:t>del Pacto Internacional de Derechos Civiles y Políticos.</w:t>
      </w:r>
    </w:p>
    <w:p w14:paraId="611BB106"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Al respecto, el Tribunal considera preciso resaltar que el artículo 14, inciso 5 del Pacto Internacional de Derechos Civiles y Políticos se diferencia del artículo 8.2(h) de la Convención Americana y</w:t>
      </w:r>
      <w:r>
        <w:rPr>
          <w:rFonts w:ascii="Constantia" w:eastAsia="Constantia" w:hAnsi="Constantia" w:cs="Constantia"/>
          <w:color w:val="000000"/>
        </w:rPr>
        <w:t>a que el último es muy claro al señalar el derecho a recurrir el fallo sin hacer mención a la frase “conforme a lo prescrito por la ley”, como sí lo establece el artículo del PIDCP. Sin embargo, el Comité de Derechos Humanos de las Naciones Unidas lo ha in</w:t>
      </w:r>
      <w:r>
        <w:rPr>
          <w:rFonts w:ascii="Constantia" w:eastAsia="Constantia" w:hAnsi="Constantia" w:cs="Constantia"/>
          <w:color w:val="000000"/>
        </w:rPr>
        <w:t>terpretado en el párrafo 45 de su Observación General No. 32, en el sentido que:</w:t>
      </w:r>
    </w:p>
    <w:p w14:paraId="7E63194E"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“La expresión "conforme a lo prescrito por la ley" en esta disposición no tiene por objeto dejar a discreción de los Estados Partes la existencia misma del derecho a revisión,</w:t>
      </w:r>
      <w:r>
        <w:rPr>
          <w:rFonts w:ascii="Constantia" w:eastAsia="Constantia" w:hAnsi="Constantia" w:cs="Constantia"/>
          <w:i/>
          <w:color w:val="000000"/>
        </w:rPr>
        <w:t xml:space="preserve"> puesto que este es un derecho reconocido por el Pacto y no meramente por la legislación interna. La expresión "conforme a lo prescrito por la ley" se refiere más bien a la determinación de las modalidades de acuerdo con las cuales un tribunal superior lle</w:t>
      </w:r>
      <w:r>
        <w:rPr>
          <w:rFonts w:ascii="Constantia" w:eastAsia="Constantia" w:hAnsi="Constantia" w:cs="Constantia"/>
          <w:i/>
          <w:color w:val="000000"/>
        </w:rPr>
        <w:t>vará a cabo la revisión, así como la determinación del tribunal que se encargará de ello de conformidad con el Pacto. El párrafo 5 del artículo 14 no exige a los Estados Partes que establezcan varias instancias de apelación. Sin embargo, la referencia a la</w:t>
      </w:r>
      <w:r>
        <w:rPr>
          <w:rFonts w:ascii="Constantia" w:eastAsia="Constantia" w:hAnsi="Constantia" w:cs="Constantia"/>
          <w:i/>
          <w:color w:val="000000"/>
        </w:rPr>
        <w:t xml:space="preserve"> legislación interna en esta disposición ha de interpretarse en el sentido de que si el ordenamiento jurídico nacional prevé otras instancias de apelación, la persona condenada debe tener acceso efectivo a cada una de ellas.”” (Subrayados fuera del texto).</w:t>
      </w:r>
    </w:p>
    <w:p w14:paraId="3ACEB548"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 xml:space="preserve">De la misma manera, el Comité del Pacto de Derechos Civiles y Políticos emitió en el año 2007 la Observación General No. 32. sobre el derecho a un juicio imparcial </w:t>
      </w:r>
      <w:r>
        <w:rPr>
          <w:rFonts w:ascii="Constantia" w:eastAsia="Constantia" w:hAnsi="Constantia" w:cs="Constantia"/>
          <w:color w:val="000000"/>
        </w:rPr>
        <w:lastRenderedPageBreak/>
        <w:t>y a la igualdad ante los tribunales y cortes de justicia. El párrafo 47 que hace parte de l</w:t>
      </w:r>
      <w:r>
        <w:rPr>
          <w:rFonts w:ascii="Constantia" w:eastAsia="Constantia" w:hAnsi="Constantia" w:cs="Constantia"/>
          <w:color w:val="000000"/>
        </w:rPr>
        <w:t>a sección “VII Revisión por un tribunal superior” afirmó lo siguiente:</w:t>
      </w:r>
    </w:p>
    <w:p w14:paraId="270D4D05"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“47. El párrafo 5 del artículo 14 se vulnera no sólo si la decisión de un tribunal de primera instancia se considera definitiva sino también si una condena impuesta por un tribunal de a</w:t>
      </w:r>
      <w:r>
        <w:rPr>
          <w:rFonts w:ascii="Constantia" w:eastAsia="Constantia" w:hAnsi="Constantia" w:cs="Constantia"/>
          <w:color w:val="000000"/>
        </w:rPr>
        <w:t xml:space="preserve">pelación{§136} o un tribunal de última instancia{§137} a una persona absuelta en primera instancia no puede ser revisada por un tribunal superior. </w:t>
      </w:r>
      <w:r>
        <w:rPr>
          <w:rFonts w:ascii="Constantia" w:eastAsia="Constantia" w:hAnsi="Constantia" w:cs="Constantia"/>
          <w:color w:val="000000"/>
          <w:u w:val="single"/>
        </w:rPr>
        <w:t>Cuando el tribunal más alto de un país actúa como primera y única instancia, la ausencia de todo derecho a re</w:t>
      </w:r>
      <w:r>
        <w:rPr>
          <w:rFonts w:ascii="Constantia" w:eastAsia="Constantia" w:hAnsi="Constantia" w:cs="Constantia"/>
          <w:color w:val="000000"/>
          <w:u w:val="single"/>
        </w:rPr>
        <w:t>visión por un tribunal superior no queda compensada por el hecho de haber sido juzgado por el tribunal de mayor jerarquía del Estado Parte; por el contrario, tal sistema es incompatible con el Pacto, a menos que el Estado Parte interesado haya formulado un</w:t>
      </w:r>
      <w:r>
        <w:rPr>
          <w:rFonts w:ascii="Constantia" w:eastAsia="Constantia" w:hAnsi="Constantia" w:cs="Constantia"/>
          <w:color w:val="000000"/>
          <w:u w:val="single"/>
        </w:rPr>
        <w:t>a reserva a ese efecto</w:t>
      </w:r>
      <w:r>
        <w:rPr>
          <w:rFonts w:ascii="Constantia" w:eastAsia="Constantia" w:hAnsi="Constantia" w:cs="Constantia"/>
          <w:color w:val="000000"/>
        </w:rPr>
        <w:t xml:space="preserve"> {§138}” (Negrillas fuera del texto).</w:t>
      </w:r>
    </w:p>
    <w:p w14:paraId="445085B1"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Ante tal escenario fue emitida la sentencia C-792 de 2014. La demanda que comenzó este proceso fue contra varios de la Ley 906 de 2004, entre los que se incluyó la norma que concede a la Sala de C</w:t>
      </w:r>
      <w:r>
        <w:rPr>
          <w:rFonts w:ascii="Constantia" w:eastAsia="Constantia" w:hAnsi="Constantia" w:cs="Constantia"/>
          <w:color w:val="000000"/>
        </w:rPr>
        <w:t xml:space="preserve">asación Penal de la Corte Suprema el conocimiento de los recursos contra autos y sentencias que se profieran en primera instancia por tribunales superiores. En ese sentido, la persona accionante consideró que existía una omisión legislativa en tanto no se </w:t>
      </w:r>
      <w:r>
        <w:rPr>
          <w:rFonts w:ascii="Constantia" w:eastAsia="Constantia" w:hAnsi="Constantia" w:cs="Constantia"/>
          <w:color w:val="000000"/>
        </w:rPr>
        <w:t>preveían mecanismos suficientes para garantizar que la primera condena penal en segunda instancia fuera objeto de impugnación. </w:t>
      </w:r>
    </w:p>
    <w:p w14:paraId="6025BF13"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ese sentido, la Sala Plena estimó dos problemas jurídicos: El primero relacionado a la existencia o no dentro del ordenamient</w:t>
      </w:r>
      <w:r>
        <w:rPr>
          <w:rFonts w:ascii="Constantia" w:eastAsia="Constantia" w:hAnsi="Constantia" w:cs="Constantia"/>
          <w:color w:val="000000"/>
        </w:rPr>
        <w:t>o superior de un derecho a impugnar las sentencias proferidas en segunda instancia que, por primera vez, impongan una condena penal y el segundo relacionado con la existencia de estándares que deben satisfacerse para que se considere que el recurso es adec</w:t>
      </w:r>
      <w:r>
        <w:rPr>
          <w:rFonts w:ascii="Constantia" w:eastAsia="Constantia" w:hAnsi="Constantia" w:cs="Constantia"/>
          <w:color w:val="000000"/>
        </w:rPr>
        <w:t>uado. </w:t>
      </w:r>
    </w:p>
    <w:p w14:paraId="23202BB3"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A pesar de que la Corte reconoció que era la primera vez que analizaba la mencionada problemática, afirmó que la impugnación de sentencias condenatorias contaba de manera autónoma con (i) fundamento normativo tanto en la Constitución como en el Bloq</w:t>
      </w:r>
      <w:r>
        <w:rPr>
          <w:rFonts w:ascii="Constantia" w:eastAsia="Constantia" w:hAnsi="Constantia" w:cs="Constantia"/>
          <w:color w:val="000000"/>
        </w:rPr>
        <w:t>ue de Constitucionalidad, (ii) estatus jurídico como parte de los derechos que integran la defensa, (iii) un ámbito de acción en el proceso penal, (iv) el contenido de controvertir el fallo incriminatorio ante una instancia distinta a la que dictó la sente</w:t>
      </w:r>
      <w:r>
        <w:rPr>
          <w:rFonts w:ascii="Constantia" w:eastAsia="Constantia" w:hAnsi="Constantia" w:cs="Constantia"/>
          <w:color w:val="000000"/>
        </w:rPr>
        <w:t xml:space="preserve">ncia, (v) objeto en tanto es una sentencia que declara por primera vez la responsabilidad penal, (vi) finalidad en tanto pretende proteger a personas contenidas y dar una garantía de corrección judicial, </w:t>
      </w:r>
      <w:r>
        <w:rPr>
          <w:rFonts w:ascii="Constantia" w:eastAsia="Constantia" w:hAnsi="Constantia" w:cs="Constantia"/>
          <w:color w:val="000000"/>
        </w:rPr>
        <w:lastRenderedPageBreak/>
        <w:t>(vii) se distingue de la posibilidad de apelar sente</w:t>
      </w:r>
      <w:r>
        <w:rPr>
          <w:rFonts w:ascii="Constantia" w:eastAsia="Constantia" w:hAnsi="Constantia" w:cs="Constantia"/>
          <w:color w:val="000000"/>
        </w:rPr>
        <w:t>ncias judiciales en tanto el Legislador sí puede establecer excepciones, pues en este caso el principio no actúa como imperativo o regla. </w:t>
      </w:r>
    </w:p>
    <w:p w14:paraId="243925CE"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Siguiendo esta línea argumentativa, la Corte reconoció que su línea jurisprudencial que consideraba que la exigibilid</w:t>
      </w:r>
      <w:r>
        <w:rPr>
          <w:rFonts w:ascii="Constantia" w:eastAsia="Constantia" w:hAnsi="Constantia" w:cs="Constantia"/>
          <w:color w:val="000000"/>
        </w:rPr>
        <w:t>ad de impugnar se encontraba satisfecha al considerar los recursos de casación, revisión y la acción de tutela contra providencia judicial. Sin embargo, en esta ocasión consideró que eran vías procesales debilitadas. Dijo la Corte que los anteriores recurs</w:t>
      </w:r>
      <w:r>
        <w:rPr>
          <w:rFonts w:ascii="Constantia" w:eastAsia="Constantia" w:hAnsi="Constantia" w:cs="Constantia"/>
          <w:color w:val="000000"/>
        </w:rPr>
        <w:t>os no resolvía las siguientes pautas:</w:t>
      </w:r>
    </w:p>
    <w:p w14:paraId="3F6C1705" w14:textId="77777777" w:rsidR="005417E1" w:rsidRDefault="00D17363">
      <w:pPr>
        <w:numPr>
          <w:ilvl w:val="0"/>
          <w:numId w:val="3"/>
        </w:numPr>
        <w:spacing w:before="240" w:after="240" w:line="276" w:lineRule="auto"/>
        <w:jc w:val="both"/>
        <w:rPr>
          <w:rFonts w:ascii="Constantia" w:eastAsia="Constantia" w:hAnsi="Constantia" w:cs="Constantia"/>
          <w:color w:val="000000"/>
        </w:rPr>
      </w:pPr>
      <w:r>
        <w:rPr>
          <w:rFonts w:ascii="Constantia" w:eastAsia="Constantia" w:hAnsi="Constantia" w:cs="Constantia"/>
          <w:color w:val="000000"/>
        </w:rPr>
        <w:t>Que el operador judicial que resuelva la impugnación cuente con lineamientos de valoración integral: completa, amplia y exhaustiva del fallo condenatorio</w:t>
      </w:r>
    </w:p>
    <w:p w14:paraId="30BBE3B9" w14:textId="77777777" w:rsidR="005417E1" w:rsidRDefault="00D17363">
      <w:pPr>
        <w:numPr>
          <w:ilvl w:val="0"/>
          <w:numId w:val="3"/>
        </w:numPr>
        <w:spacing w:before="240" w:after="240" w:line="276" w:lineRule="auto"/>
        <w:jc w:val="both"/>
        <w:rPr>
          <w:rFonts w:ascii="Constantia" w:eastAsia="Constantia" w:hAnsi="Constantia" w:cs="Constantia"/>
          <w:color w:val="000000"/>
        </w:rPr>
      </w:pPr>
      <w:r>
        <w:rPr>
          <w:rFonts w:ascii="Constantia" w:eastAsia="Constantia" w:hAnsi="Constantia" w:cs="Constantia"/>
          <w:color w:val="000000"/>
        </w:rPr>
        <w:t>Que el examen recaiga sobre la controversia en sí misma considerada y no primariamente sobre el anális</w:t>
      </w:r>
      <w:r>
        <w:rPr>
          <w:rFonts w:ascii="Constantia" w:eastAsia="Constantia" w:hAnsi="Constantia" w:cs="Constantia"/>
          <w:color w:val="000000"/>
        </w:rPr>
        <w:t>is que de dicha situación realizó el juez que condenó.</w:t>
      </w:r>
    </w:p>
    <w:p w14:paraId="331BFFEF" w14:textId="77777777" w:rsidR="005417E1" w:rsidRDefault="00D17363">
      <w:pPr>
        <w:numPr>
          <w:ilvl w:val="0"/>
          <w:numId w:val="3"/>
        </w:numPr>
        <w:spacing w:before="240" w:after="240" w:line="276" w:lineRule="auto"/>
        <w:jc w:val="both"/>
        <w:rPr>
          <w:rFonts w:ascii="Constantia" w:eastAsia="Constantia" w:hAnsi="Constantia" w:cs="Constantia"/>
          <w:color w:val="000000"/>
        </w:rPr>
      </w:pPr>
      <w:r>
        <w:rPr>
          <w:rFonts w:ascii="Constantia" w:eastAsia="Constantia" w:hAnsi="Constantia" w:cs="Constantia"/>
          <w:color w:val="000000"/>
        </w:rPr>
        <w:t>Que el recurso no esté sujeto a causales cerradas de procedencia.</w:t>
      </w:r>
    </w:p>
    <w:p w14:paraId="5436317D"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La Corte concluyó que se configuró una omisión legislativa en el régimen procesal penal previsto por la inexistencia de un recurso idón</w:t>
      </w:r>
      <w:r>
        <w:rPr>
          <w:rFonts w:ascii="Constantia" w:eastAsia="Constantia" w:hAnsi="Constantia" w:cs="Constantia"/>
          <w:color w:val="000000"/>
        </w:rPr>
        <w:t xml:space="preserve">eo que materialice el derecho a la impugnación en todos los casos en que, en el marco del proceso penal, el juez de primera instancia absuelve al condenado y el juez de segunda instancia revoca el fallo e impone condena por primera vez. En ese sentido, la </w:t>
      </w:r>
      <w:r>
        <w:rPr>
          <w:rFonts w:ascii="Constantia" w:eastAsia="Constantia" w:hAnsi="Constantia" w:cs="Constantia"/>
          <w:color w:val="000000"/>
        </w:rPr>
        <w:t>Corte Constitucional estableció una inconstitucionalidad diferida y le dio un plazo al Congreso de la República para que regulara integralmente la impugnación de las sentencias que fijan por primera vez una condena tanto en el marco de juicios penales de ú</w:t>
      </w:r>
      <w:r>
        <w:rPr>
          <w:rFonts w:ascii="Constantia" w:eastAsia="Constantia" w:hAnsi="Constantia" w:cs="Constantia"/>
          <w:color w:val="000000"/>
        </w:rPr>
        <w:t>nica instancia, como en aquellos de dos instancias. </w:t>
      </w:r>
    </w:p>
    <w:p w14:paraId="3E15750E"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A pesar de que hasta este momento se ha venido trabajando en relación a los aforados constitucionales, la sentencia C-792 de 2014 habla de que la impugnación de la primera sentencia condenatoria es de in</w:t>
      </w:r>
      <w:r>
        <w:rPr>
          <w:rFonts w:ascii="Constantia" w:eastAsia="Constantia" w:hAnsi="Constantia" w:cs="Constantia"/>
          <w:color w:val="000000"/>
        </w:rPr>
        <w:t>terés de toda la ciudadanía en su conjunto. Por ese motivo, el exhorto que dio la Corte Constitucional se hizo de una forma general para que se regulara hacia todas las personas que fueran condenadas en primera o segunda instancia por primera vez. </w:t>
      </w:r>
    </w:p>
    <w:p w14:paraId="58388276"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Como se</w:t>
      </w:r>
      <w:r>
        <w:rPr>
          <w:rFonts w:ascii="Constantia" w:eastAsia="Constantia" w:hAnsi="Constantia" w:cs="Constantia"/>
          <w:color w:val="000000"/>
        </w:rPr>
        <w:t xml:space="preserve"> verá a continuación, en la actualidad existe un tratamiento dispar. Pues con el Acto Legislativo 01 de 2018, se permitió a los aforados constitucionales poder </w:t>
      </w:r>
      <w:r>
        <w:rPr>
          <w:rFonts w:ascii="Constantia" w:eastAsia="Constantia" w:hAnsi="Constantia" w:cs="Constantia"/>
          <w:color w:val="000000"/>
        </w:rPr>
        <w:lastRenderedPageBreak/>
        <w:t>materializar su derecho a la doble instancia, y también a la doble conformidad en los casos llev</w:t>
      </w:r>
      <w:r>
        <w:rPr>
          <w:rFonts w:ascii="Constantia" w:eastAsia="Constantia" w:hAnsi="Constantia" w:cs="Constantia"/>
          <w:color w:val="000000"/>
        </w:rPr>
        <w:t>ados ante la Corte Suprema de Justicia. Sin embargo para el resto de la ciudadanía no es claro como se puede ejercer este derecho, lo cual ha generado que se presenten múltiples acciones de tutela y que sea la Corte Constitucional y la Corte Suprema la que</w:t>
      </w:r>
      <w:r>
        <w:rPr>
          <w:rFonts w:ascii="Constantia" w:eastAsia="Constantia" w:hAnsi="Constantia" w:cs="Constantia"/>
          <w:color w:val="000000"/>
        </w:rPr>
        <w:t xml:space="preserve"> tenga que colocar parámetros para materializar la doble conformidad en la ciudadanía. </w:t>
      </w:r>
    </w:p>
    <w:p w14:paraId="0AF1C3AF" w14:textId="77777777" w:rsidR="005417E1" w:rsidRDefault="00D17363">
      <w:pPr>
        <w:numPr>
          <w:ilvl w:val="0"/>
          <w:numId w:val="4"/>
        </w:numPr>
        <w:pBdr>
          <w:top w:val="nil"/>
          <w:left w:val="nil"/>
          <w:bottom w:val="nil"/>
          <w:right w:val="nil"/>
          <w:between w:val="nil"/>
        </w:pBdr>
        <w:spacing w:before="240" w:after="240" w:line="276" w:lineRule="auto"/>
        <w:ind w:left="1134" w:firstLine="0"/>
        <w:jc w:val="both"/>
        <w:rPr>
          <w:rFonts w:ascii="Times New Roman" w:eastAsia="Times New Roman" w:hAnsi="Times New Roman" w:cs="Times New Roman"/>
          <w:color w:val="000000"/>
        </w:rPr>
      </w:pPr>
      <w:r>
        <w:rPr>
          <w:rFonts w:ascii="Constantia" w:eastAsia="Constantia" w:hAnsi="Constantia" w:cs="Constantia"/>
          <w:b/>
          <w:color w:val="000000"/>
        </w:rPr>
        <w:t>Tercera época: Línea jurisprudencial con posterioridad al Acto Legislativo 01 de 2018.</w:t>
      </w:r>
    </w:p>
    <w:p w14:paraId="77ECC9BE"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El 18 de enero de 2018 fue sancionado el Acto Legislativo 1 de 2018 “Por medio del cual se modifican los artículos 186, 234 y 235 de la Constitución Política y se implem</w:t>
      </w:r>
      <w:r>
        <w:rPr>
          <w:rFonts w:ascii="Constantia" w:eastAsia="Constantia" w:hAnsi="Constantia" w:cs="Constantia"/>
          <w:color w:val="000000"/>
        </w:rPr>
        <w:t>entan el derecho a la doble instancia y a impugnar la primera sentencia condenatoria”. Este acto legislativo tiene cuatro artículos en donde se concede el derecho a la doble instancia y a la doble conformidad a congresistas en su condición de aforados cons</w:t>
      </w:r>
      <w:r>
        <w:rPr>
          <w:rFonts w:ascii="Constantia" w:eastAsia="Constantia" w:hAnsi="Constantia" w:cs="Constantia"/>
          <w:color w:val="000000"/>
        </w:rPr>
        <w:t>titucionales y se crea al interior de la Corte Suprema de Justicia la Sala Especial de Instrucción y la Sala Especial de Primera Instancia, así como el régimen y las funciones que tienen los magistrados de las mencionadas salas.</w:t>
      </w:r>
    </w:p>
    <w:p w14:paraId="52046E91"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 xml:space="preserve">El numeral 2° del artículo </w:t>
      </w:r>
      <w:r>
        <w:rPr>
          <w:rFonts w:ascii="Constantia" w:eastAsia="Constantia" w:hAnsi="Constantia" w:cs="Constantia"/>
          <w:color w:val="000000"/>
        </w:rPr>
        <w:t>235 de la Constitución modificado por el Acto Legislativo 1 de 2018 establece como atribución de la Corte Suprema de Justicia “conocer del derecho a la impugnación y del recurso de apelación en materia penal conforme lo determine la ley”. Sin embargo, a dí</w:t>
      </w:r>
      <w:r>
        <w:rPr>
          <w:rFonts w:ascii="Constantia" w:eastAsia="Constantia" w:hAnsi="Constantia" w:cs="Constantia"/>
          <w:color w:val="000000"/>
        </w:rPr>
        <w:t>a de hoy no se encuentra expedida la ley que regule el ejercicio de tal atribución por la Corte Suprema de Justicia. </w:t>
      </w:r>
    </w:p>
    <w:p w14:paraId="0F1283ED"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Lo anterior no ha impedido que la Corte Suprema haya dado directrices para garantizar el derecho a impugnar la primera sentencia condenato</w:t>
      </w:r>
      <w:r>
        <w:rPr>
          <w:rFonts w:ascii="Constantia" w:eastAsia="Constantia" w:hAnsi="Constantia" w:cs="Constantia"/>
          <w:color w:val="000000"/>
        </w:rPr>
        <w:t>ria en tres casos: (i) los casos de aforados constitucionales, (ii) los casos en los que la primera condena en sede de casación y (iii) los casos en los que la primera condena la dictan los Tribunales Superiores en segunda instancia. En la sentencia SU 217</w:t>
      </w:r>
      <w:r>
        <w:rPr>
          <w:rFonts w:ascii="Constantia" w:eastAsia="Constantia" w:hAnsi="Constantia" w:cs="Constantia"/>
          <w:color w:val="000000"/>
        </w:rPr>
        <w:t xml:space="preserve"> de 2019, la Corte Constitucional hizo referencia a las reglas establecidas por la Corte Suprema de Justicia en el Auto AP1263-2019 del 3 de abril de 2019 en donde se establecieron reglas provisionales para tramitar la apelación de primeras condenas emitid</w:t>
      </w:r>
      <w:r>
        <w:rPr>
          <w:rFonts w:ascii="Constantia" w:eastAsia="Constantia" w:hAnsi="Constantia" w:cs="Constantia"/>
          <w:color w:val="000000"/>
        </w:rPr>
        <w:t>as en segunda instancia por tribunales superiores:</w:t>
      </w:r>
    </w:p>
    <w:p w14:paraId="545BC701"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 xml:space="preserve">“(i) Se mantiene incólume el derecho de las partes e intervinientes a interponer el recurso extraordinario de casación, en los términos y con los presupuestos establecidos en la ley y desarrollados por la </w:t>
      </w:r>
      <w:r>
        <w:rPr>
          <w:rFonts w:ascii="Constantia" w:eastAsia="Constantia" w:hAnsi="Constantia" w:cs="Constantia"/>
          <w:i/>
          <w:color w:val="000000"/>
        </w:rPr>
        <w:t>jurisprudencia.</w:t>
      </w:r>
    </w:p>
    <w:p w14:paraId="5FEE5C22"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lastRenderedPageBreak/>
        <w:t>(ii) Sin embargo, el procesado condenado por primera vez en segunda instancia por los tribunales superiores tendrá derecho a impugnar el fallo, ya sea directamente o por conducto de apoderado, cuya resolución corresponde a la Sala de Casaci</w:t>
      </w:r>
      <w:r>
        <w:rPr>
          <w:rFonts w:ascii="Constantia" w:eastAsia="Constantia" w:hAnsi="Constantia" w:cs="Constantia"/>
          <w:i/>
          <w:color w:val="000000"/>
        </w:rPr>
        <w:t>ón Penal.</w:t>
      </w:r>
    </w:p>
    <w:p w14:paraId="56517E55"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(iii) La sustentación de esa impugnación estará desprovista de la técnica asociada al recurso de casación, aunque seguirá la lógica propia del recurso de apelación. Por ende, las razones del disenso constituyen el límite de la Corte para resolver</w:t>
      </w:r>
      <w:r>
        <w:rPr>
          <w:rFonts w:ascii="Constantia" w:eastAsia="Constantia" w:hAnsi="Constantia" w:cs="Constantia"/>
          <w:i/>
          <w:color w:val="000000"/>
        </w:rPr>
        <w:t>.</w:t>
      </w:r>
    </w:p>
    <w:p w14:paraId="0F6877FF"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(iv) El tribunal, bajo esos presupuestos, advertirá en el fallo, que, frente a la decisión que contenga la primera condena, cabe la impugnación especial para el procesado y/o su defensor, mientras que las demás partes e intervinientes tienen la posibilid</w:t>
      </w:r>
      <w:r>
        <w:rPr>
          <w:rFonts w:ascii="Constantia" w:eastAsia="Constantia" w:hAnsi="Constantia" w:cs="Constantia"/>
          <w:i/>
          <w:color w:val="000000"/>
        </w:rPr>
        <w:t>ad de interponer recurso de casación.</w:t>
      </w:r>
    </w:p>
    <w:p w14:paraId="35D02171"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 xml:space="preserve">(v) Los términos procesales de la casación rigen los de la impugnación especial. De manera que el plazo para promover y sustentar la impugnación especial será el mismo que prevé el Código de Procedimiento Penal, según </w:t>
      </w:r>
      <w:r>
        <w:rPr>
          <w:rFonts w:ascii="Constantia" w:eastAsia="Constantia" w:hAnsi="Constantia" w:cs="Constantia"/>
          <w:i/>
          <w:color w:val="000000"/>
        </w:rPr>
        <w:t>la ley que haya regido el proceso –en 600 de 2000 o 906 de 2004–, para el recurso de casación.</w:t>
      </w:r>
    </w:p>
    <w:p w14:paraId="0C9FC18C"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(vi) Si el procesado condenado por primera vez, o su defensor, proponen impugnación especial, el tribunal, respecto de ella, correrá el traslado a los no recurre</w:t>
      </w:r>
      <w:r>
        <w:rPr>
          <w:rFonts w:ascii="Constantia" w:eastAsia="Constantia" w:hAnsi="Constantia" w:cs="Constantia"/>
          <w:i/>
          <w:color w:val="000000"/>
        </w:rPr>
        <w:t>ntes para que se pronuncien, conforme ocurre cuando se interpone el recurso de apelación contra sentencias, según los artículos 194 y 179 de las leyes 600 y 906, respectivamente. Luego de lo cual, remitirá el expediente a la Sala de Casación Penal.</w:t>
      </w:r>
    </w:p>
    <w:p w14:paraId="67D0D500"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(vii) S</w:t>
      </w:r>
      <w:r>
        <w:rPr>
          <w:rFonts w:ascii="Constantia" w:eastAsia="Constantia" w:hAnsi="Constantia" w:cs="Constantia"/>
          <w:i/>
          <w:color w:val="000000"/>
        </w:rPr>
        <w:t>i además de la impugnación especial promovida por el acusado o su defensor, otro sujeto procesal o interviniente promovió casación, esta Sala procederá, primero, a calificar la demanda de casación.</w:t>
      </w:r>
    </w:p>
    <w:p w14:paraId="5188433B"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(viii) Si se inadmite la demanda y –tratándose de procesos</w:t>
      </w:r>
      <w:r>
        <w:rPr>
          <w:rFonts w:ascii="Constantia" w:eastAsia="Constantia" w:hAnsi="Constantia" w:cs="Constantia"/>
          <w:i/>
          <w:color w:val="000000"/>
        </w:rPr>
        <w:t xml:space="preserve"> seguidos por el estatuto adjetivo penal de 2004– el mecanismo de insistencia no se promovió o no prosperó, la Sala procederá a resolver, en sentencia, la impugnación especial.</w:t>
      </w:r>
    </w:p>
    <w:p w14:paraId="73880D4A"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(ix) Si la demanda se admite, la Sala, luego de realizada la audiencia de sustentación o de recibido el concepto de la Procuraduría –según sea Ley 906 o Ley 600–, procederá a resolver el recurso extraordinario y, en la misma sentencia, la impugnación espec</w:t>
      </w:r>
      <w:r>
        <w:rPr>
          <w:rFonts w:ascii="Constantia" w:eastAsia="Constantia" w:hAnsi="Constantia" w:cs="Constantia"/>
          <w:i/>
          <w:color w:val="000000"/>
        </w:rPr>
        <w:t>ial.</w:t>
      </w:r>
    </w:p>
    <w:p w14:paraId="4572CE70"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(x) Puntualmente, contra la decisión que resuelve la impugnación especial no procede casación.</w:t>
      </w:r>
    </w:p>
    <w:p w14:paraId="60667095"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lastRenderedPageBreak/>
        <w:t>Ello porque ese fallo correspondiente se asimila a una decisión de segunda instancia y, tal como ocurre en la actualidad, contra esas determinaciones no cab</w:t>
      </w:r>
      <w:r>
        <w:rPr>
          <w:rFonts w:ascii="Constantia" w:eastAsia="Constantia" w:hAnsi="Constantia" w:cs="Constantia"/>
          <w:i/>
          <w:color w:val="000000"/>
        </w:rPr>
        <w:t>e casación (cfr., entre otros pronunciamientos, CSJ AP6798-2017, rad. 46395; CSJ AP 15 jun. 2005, rad. 23336; CSJ AP 10 nov. 2004, rad. 16023; CSJ AP 12 dic. 2003, rad. 19630 y CSJ AP 5 dic. 1996, rad. 9579).</w:t>
      </w:r>
    </w:p>
    <w:p w14:paraId="54F9F26C"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i/>
          <w:color w:val="000000"/>
        </w:rPr>
        <w:t>(xi) Los procesos que ya arribaron a la Corpora</w:t>
      </w:r>
      <w:r>
        <w:rPr>
          <w:rFonts w:ascii="Constantia" w:eastAsia="Constantia" w:hAnsi="Constantia" w:cs="Constantia"/>
          <w:i/>
          <w:color w:val="000000"/>
        </w:rPr>
        <w:t>ción, con primera condena en segunda instancia, continuarán con el trámite que para la fecha haya dispuesto el magistrado sustanciador, toda vez que la Corte, en la determinación que adopte, garantizará el principio de doble conformidad””</w:t>
      </w:r>
    </w:p>
    <w:p w14:paraId="13D60176"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 xml:space="preserve">En esa sentencia </w:t>
      </w:r>
      <w:r>
        <w:rPr>
          <w:rFonts w:ascii="Constantia" w:eastAsia="Constantia" w:hAnsi="Constantia" w:cs="Constantia"/>
          <w:color w:val="000000"/>
        </w:rPr>
        <w:t>la Corte declaró que se habían configurado algunas causales de procedencia de tutelas contra providencias judiciales por lo que decidió tutelar los derechos reclamados por las personas tutelantes. También reiteró el exhorto al Congreso de la República en l</w:t>
      </w:r>
      <w:r>
        <w:rPr>
          <w:rFonts w:ascii="Constantia" w:eastAsia="Constantia" w:hAnsi="Constantia" w:cs="Constantia"/>
          <w:color w:val="000000"/>
        </w:rPr>
        <w:t>os siguientes términos reconociendo que el avance realizado a través del Acto Legislativo 01 de 2018 era sustancial pero no suficiente:</w:t>
      </w:r>
    </w:p>
    <w:p w14:paraId="1402D8BF" w14:textId="77777777" w:rsidR="005417E1" w:rsidRDefault="00D17363">
      <w:pPr>
        <w:spacing w:before="240" w:after="240" w:line="276" w:lineRule="auto"/>
        <w:ind w:left="567" w:right="566"/>
        <w:jc w:val="both"/>
        <w:rPr>
          <w:rFonts w:ascii="Times New Roman" w:eastAsia="Times New Roman" w:hAnsi="Times New Roman" w:cs="Times New Roman"/>
        </w:rPr>
      </w:pPr>
      <w:r>
        <w:rPr>
          <w:rFonts w:ascii="Constantia" w:eastAsia="Constantia" w:hAnsi="Constantia" w:cs="Constantia"/>
          <w:color w:val="000000"/>
        </w:rPr>
        <w:t>“Si bien el Congreso ha venido avanzando en la regulación del derecho constitucional de impugnar las sentencias condenat</w:t>
      </w:r>
      <w:r>
        <w:rPr>
          <w:rFonts w:ascii="Constantia" w:eastAsia="Constantia" w:hAnsi="Constantia" w:cs="Constantia"/>
          <w:color w:val="000000"/>
        </w:rPr>
        <w:t xml:space="preserve">orias, como se evidencia con la reforma introducida a los artículos 186, 234 y 235 de la Constitución mediante el Acto Legislativo 01 de 2018, resulta indispensable que dicha tarea se complemente con la ley que regule la competencia de la Corte Suprema de </w:t>
      </w:r>
      <w:r>
        <w:rPr>
          <w:rFonts w:ascii="Constantia" w:eastAsia="Constantia" w:hAnsi="Constantia" w:cs="Constantia"/>
          <w:color w:val="000000"/>
        </w:rPr>
        <w:t>Justicia consistente en conocer del derecho de impugnación y del recurso de apelación en materia penal, como lo prevé  el numeral 2 del artículo 235 de la Constitución, según la reforma introducida por el artículo 3 del mencionado Acto Legislativo 01 de 20</w:t>
      </w:r>
      <w:r>
        <w:rPr>
          <w:rFonts w:ascii="Constantia" w:eastAsia="Constantia" w:hAnsi="Constantia" w:cs="Constantia"/>
          <w:color w:val="000000"/>
        </w:rPr>
        <w:t>18.  </w:t>
      </w:r>
    </w:p>
    <w:p w14:paraId="4C41D8CC" w14:textId="77777777" w:rsidR="005417E1" w:rsidRDefault="00D17363">
      <w:pPr>
        <w:spacing w:before="240" w:after="240" w:line="276" w:lineRule="auto"/>
        <w:ind w:left="567" w:right="566"/>
        <w:jc w:val="both"/>
        <w:rPr>
          <w:rFonts w:ascii="Times New Roman" w:eastAsia="Times New Roman" w:hAnsi="Times New Roman" w:cs="Times New Roman"/>
        </w:rPr>
      </w:pPr>
      <w:r>
        <w:rPr>
          <w:rFonts w:ascii="Constantia" w:eastAsia="Constantia" w:hAnsi="Constantia" w:cs="Constantia"/>
          <w:color w:val="000000"/>
        </w:rPr>
        <w:t>Dado que subsiste la omisión legislativa en cuanto a la regulación del procedimiento para el ejercicio del derecho a la impugnación de las condenas, de conformidad con lo dispuesto en los artículos 29 y 235, numerales 2 y 7, de la Constitución, la Co</w:t>
      </w:r>
      <w:r>
        <w:rPr>
          <w:rFonts w:ascii="Constantia" w:eastAsia="Constantia" w:hAnsi="Constantia" w:cs="Constantia"/>
          <w:color w:val="000000"/>
        </w:rPr>
        <w:t>rte exhortará, una vez más, al Congreso de la República a efectos de que, en ejercicio de su amplia de libertad de configuración del derecho y dentro del marco de la Constitución, regule dicho procedimiento.”</w:t>
      </w:r>
    </w:p>
    <w:p w14:paraId="1526F9E8"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la sentencia SU-218 de 2019 la Corte Constit</w:t>
      </w:r>
      <w:r>
        <w:rPr>
          <w:rFonts w:ascii="Constantia" w:eastAsia="Constantia" w:hAnsi="Constantia" w:cs="Constantia"/>
          <w:color w:val="000000"/>
        </w:rPr>
        <w:t>ucional recogió la fórmula que estaba aplicando la Corte Suprema de Justicia para garantizar la doble conformidad en los casos que lleven a una sentencia penal en sede de casación luego de que en las dos instancias se absolviera. Dice la Corte:</w:t>
      </w:r>
    </w:p>
    <w:p w14:paraId="134DED0F" w14:textId="77777777" w:rsidR="005417E1" w:rsidRDefault="00D17363">
      <w:pPr>
        <w:spacing w:before="240" w:after="240" w:line="276" w:lineRule="auto"/>
        <w:ind w:left="567" w:right="424"/>
        <w:jc w:val="both"/>
        <w:rPr>
          <w:rFonts w:ascii="Times New Roman" w:eastAsia="Times New Roman" w:hAnsi="Times New Roman" w:cs="Times New Roman"/>
        </w:rPr>
      </w:pPr>
      <w:r>
        <w:rPr>
          <w:rFonts w:ascii="Constantia" w:eastAsia="Constantia" w:hAnsi="Constantia" w:cs="Constantia"/>
          <w:color w:val="000000"/>
        </w:rPr>
        <w:lastRenderedPageBreak/>
        <w:t>“Sin embarg</w:t>
      </w:r>
      <w:r>
        <w:rPr>
          <w:rFonts w:ascii="Constantia" w:eastAsia="Constantia" w:hAnsi="Constantia" w:cs="Constantia"/>
          <w:color w:val="000000"/>
        </w:rPr>
        <w:t>o, esta posición fue explícitamente recogida por la Sala de Casación Penal de la Corte Suprema de Justicia, mediante sentencia del 14 de noviembre de 2018. Allí, la Corte reivindicó el derecho a impugnar el primer fallo de condena como una protección refor</w:t>
      </w:r>
      <w:r>
        <w:rPr>
          <w:rFonts w:ascii="Constantia" w:eastAsia="Constantia" w:hAnsi="Constantia" w:cs="Constantia"/>
          <w:color w:val="000000"/>
        </w:rPr>
        <w:t>zada del derecho a la presunción de inocencia, y consideró que, en la actualidad, el numeral 7º del artículo 235 de la Constitución, con la reforma que introdujo el Acto legislativo 01 de 2018, “en consonancia con las normas propias para la interposición y</w:t>
      </w:r>
      <w:r>
        <w:rPr>
          <w:rFonts w:ascii="Constantia" w:eastAsia="Constantia" w:hAnsi="Constantia" w:cs="Constantia"/>
          <w:color w:val="000000"/>
        </w:rPr>
        <w:t xml:space="preserve"> resolución del recurso de apelación contra sentencias”, ofrecen los presupuestos básicos para la garantía de tal derecho. Sobre la forma en que se debe tomar la decisión, la Corte manifestó lo siguiente:</w:t>
      </w:r>
    </w:p>
    <w:p w14:paraId="2F8C1FA2" w14:textId="77777777" w:rsidR="005417E1" w:rsidRDefault="00D17363">
      <w:pPr>
        <w:spacing w:before="240" w:after="240" w:line="276" w:lineRule="auto"/>
        <w:ind w:left="567" w:right="424"/>
        <w:jc w:val="both"/>
        <w:rPr>
          <w:rFonts w:ascii="Times New Roman" w:eastAsia="Times New Roman" w:hAnsi="Times New Roman" w:cs="Times New Roman"/>
        </w:rPr>
      </w:pPr>
      <w:r>
        <w:rPr>
          <w:rFonts w:ascii="Constantia" w:eastAsia="Constantia" w:hAnsi="Constantia" w:cs="Constantia"/>
          <w:color w:val="000000"/>
        </w:rPr>
        <w:t xml:space="preserve">Quiere ello decir, entonces, que cuando la primera </w:t>
      </w:r>
      <w:r>
        <w:rPr>
          <w:rFonts w:ascii="Constantia" w:eastAsia="Constantia" w:hAnsi="Constantia" w:cs="Constantia"/>
          <w:color w:val="000000"/>
        </w:rPr>
        <w:t>condena se dicte en sede de casación, la Sala de Casación Penal ha de integrarse de manera tal que tres de sus magistrados no conozcan del asunto, a fin de que queden habilitados para pronunciarse sobre la doble conformidad, si ésta llegare a solicitarse p</w:t>
      </w:r>
      <w:r>
        <w:rPr>
          <w:rFonts w:ascii="Constantia" w:eastAsia="Constantia" w:hAnsi="Constantia" w:cs="Constantia"/>
          <w:color w:val="000000"/>
        </w:rPr>
        <w:t>or la defensa.</w:t>
      </w:r>
    </w:p>
    <w:p w14:paraId="2DA652C2" w14:textId="77777777" w:rsidR="005417E1" w:rsidRDefault="00D17363">
      <w:pPr>
        <w:spacing w:before="240" w:after="240" w:line="276" w:lineRule="auto"/>
        <w:ind w:left="567" w:right="424"/>
        <w:jc w:val="both"/>
        <w:rPr>
          <w:rFonts w:ascii="Times New Roman" w:eastAsia="Times New Roman" w:hAnsi="Times New Roman" w:cs="Times New Roman"/>
        </w:rPr>
      </w:pPr>
      <w:r>
        <w:rPr>
          <w:rFonts w:ascii="Constantia" w:eastAsia="Constantia" w:hAnsi="Constantia" w:cs="Constantia"/>
          <w:color w:val="000000"/>
        </w:rPr>
        <w:t>De ahí que, en asuntos como el aquí analizado, el magistrado ponente ha de convocar a los cinco magistrados que le siguen en orden alfabético, a fin de conformar sala (de seis integrantes) para discutir la ponencia y dictar la sentencia. Los</w:t>
      </w:r>
      <w:r>
        <w:rPr>
          <w:rFonts w:ascii="Constantia" w:eastAsia="Constantia" w:hAnsi="Constantia" w:cs="Constantia"/>
          <w:color w:val="000000"/>
        </w:rPr>
        <w:t xml:space="preserve"> tres magistrados restantes integrarán sala para revisar, dado el caso, la doble conformidad.”</w:t>
      </w:r>
    </w:p>
    <w:p w14:paraId="60C1AC33"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Se trata, desde luego, de un procedimiento implementado de manera transitoria, para que el derecho “no quede en el vacío”, mientras el Legislador reglamenta inte</w:t>
      </w:r>
      <w:r>
        <w:rPr>
          <w:rFonts w:ascii="Constantia" w:eastAsia="Constantia" w:hAnsi="Constantia" w:cs="Constantia"/>
          <w:color w:val="000000"/>
        </w:rPr>
        <w:t>gralmente el trámite correspondiente; para ello, el Alto Tribunal de la justicia ordinaria, en la misma providencia, dirigió un nuevo exhorto al órgano de representación política.” </w:t>
      </w:r>
    </w:p>
    <w:p w14:paraId="00F80490"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la sentencia SU 397 de 2019 la Corte Constitucional sostuvo lo siguient</w:t>
      </w:r>
      <w:r>
        <w:rPr>
          <w:rFonts w:ascii="Constantia" w:eastAsia="Constantia" w:hAnsi="Constantia" w:cs="Constantia"/>
          <w:color w:val="000000"/>
        </w:rPr>
        <w:t>e:</w:t>
      </w:r>
    </w:p>
    <w:p w14:paraId="45D3A83B" w14:textId="77777777" w:rsidR="005417E1" w:rsidRDefault="00D17363">
      <w:pPr>
        <w:spacing w:before="240" w:after="240" w:line="276" w:lineRule="auto"/>
        <w:ind w:left="567" w:right="566"/>
        <w:jc w:val="both"/>
        <w:rPr>
          <w:rFonts w:ascii="Times New Roman" w:eastAsia="Times New Roman" w:hAnsi="Times New Roman" w:cs="Times New Roman"/>
        </w:rPr>
      </w:pPr>
      <w:r>
        <w:rPr>
          <w:rFonts w:ascii="Constantia" w:eastAsia="Constantia" w:hAnsi="Constantia" w:cs="Constantia"/>
          <w:color w:val="000000"/>
        </w:rPr>
        <w:t xml:space="preserve">“Conforme a lo expuesto, se concluye que si bien la falta de desarrollo legal del derecho a impugnar la primera sentencia condenatoria persiste, la jurisprudencia de la Sala Penal de la Corte Suprema de Justicia ha avanzado hacia su protección. Para el </w:t>
      </w:r>
      <w:r>
        <w:rPr>
          <w:rFonts w:ascii="Constantia" w:eastAsia="Constantia" w:hAnsi="Constantia" w:cs="Constantia"/>
          <w:color w:val="000000"/>
        </w:rPr>
        <w:t>efecto, y puntualmente en los casos en que el primer fallo incriminatorio es adoptado por los tribunales superiores, dicha Sala ha empleado el recurso extraordinario de casación. Así, en un comienzo, la Sala flexibilizó las barreras que por mandato legal y</w:t>
      </w:r>
      <w:r>
        <w:rPr>
          <w:rFonts w:ascii="Constantia" w:eastAsia="Constantia" w:hAnsi="Constantia" w:cs="Constantia"/>
          <w:color w:val="000000"/>
        </w:rPr>
        <w:t xml:space="preserve"> de ordinario tiene la casación, de suerte que en varias oportunidades, no solo decidió la demanda como tal, sino que, además, </w:t>
      </w:r>
      <w:r>
        <w:rPr>
          <w:rFonts w:ascii="Constantia" w:eastAsia="Constantia" w:hAnsi="Constantia" w:cs="Constantia"/>
          <w:color w:val="000000"/>
        </w:rPr>
        <w:lastRenderedPageBreak/>
        <w:t>se pronunció sobre el fondo del asunto y analizó la responsabilidad del condenado; y más recientemente, optó por definir «medidas</w:t>
      </w:r>
      <w:r>
        <w:rPr>
          <w:rFonts w:ascii="Constantia" w:eastAsia="Constantia" w:hAnsi="Constantia" w:cs="Constantia"/>
          <w:color w:val="000000"/>
        </w:rPr>
        <w:t xml:space="preserve"> provisionales» orientadas a habilitar el ejercicio de este derecho, las cuales, en todo caso, son aplicables «dentro del marco procesal de la casación”.</w:t>
      </w:r>
    </w:p>
    <w:p w14:paraId="63E9C7CF"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Ahora bien, aunque en ejercicio del control abstracto de constitucionalidad, más específicamente en la</w:t>
      </w:r>
      <w:r>
        <w:rPr>
          <w:rFonts w:ascii="Constantia" w:eastAsia="Constantia" w:hAnsi="Constantia" w:cs="Constantia"/>
          <w:color w:val="000000"/>
        </w:rPr>
        <w:t xml:space="preserve"> Sentencia C-792 de 2014, la Corte Constitucional concluyó que el recurso de casación no es idóneo para satisfacer las exigencias sustanciales del derecho a la doble conformidad judicial, nada se opone a que ante la inactividad del legislador en el desarro</w:t>
      </w:r>
      <w:r>
        <w:rPr>
          <w:rFonts w:ascii="Constantia" w:eastAsia="Constantia" w:hAnsi="Constantia" w:cs="Constantia"/>
          <w:color w:val="000000"/>
        </w:rPr>
        <w:t>llo del aludido derecho, de manera transitoria, la Sala de Casación Penal de la Corte Suprema de Justicia viabilice su ejercicio con los medios que tiene a su alcance, como en un comienzo lo hizo al emplear la casación con este propósito adicional, o despu</w:t>
      </w:r>
      <w:r>
        <w:rPr>
          <w:rFonts w:ascii="Constantia" w:eastAsia="Constantia" w:hAnsi="Constantia" w:cs="Constantia"/>
          <w:color w:val="000000"/>
        </w:rPr>
        <w:t>és mediante el trámite del recurso de impugnación especial, con los términos y las pautas generales del recurso de apelación.</w:t>
      </w:r>
    </w:p>
    <w:p w14:paraId="1AA3367B"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Este es un remedio judicial que, aunque no es óptimo, si cumple materialmente las condiciones sustanciales definidas por esta Corp</w:t>
      </w:r>
      <w:r>
        <w:rPr>
          <w:rFonts w:ascii="Constantia" w:eastAsia="Constantia" w:hAnsi="Constantia" w:cs="Constantia"/>
          <w:color w:val="000000"/>
        </w:rPr>
        <w:t>oración en la citada sentencia –(i) análisis de la controversia jurídica que subyace al fallo judicial cuestionado, más allá de las causales de casación y de la sentencia recurrida, y (ii) revisión del fallo por una autoridad judicial distinta de la que im</w:t>
      </w:r>
      <w:r>
        <w:rPr>
          <w:rFonts w:ascii="Constantia" w:eastAsia="Constantia" w:hAnsi="Constantia" w:cs="Constantia"/>
          <w:color w:val="000000"/>
        </w:rPr>
        <w:t>puso la condena– resulta respetuoso del valor normativo y vinculante de la mencionada reforma constitucional y de la comprensión de la Constitución como norma jurídica con eficacia directa (artículo 4 superior) . Si bien es lógico que el derecho a impugnar</w:t>
      </w:r>
      <w:r>
        <w:rPr>
          <w:rFonts w:ascii="Constantia" w:eastAsia="Constantia" w:hAnsi="Constantia" w:cs="Constantia"/>
          <w:color w:val="000000"/>
        </w:rPr>
        <w:t xml:space="preserve"> la primera sentencia condenatoria esté sometido a las etapas, formas y términos que dispongan la Constitución y la ley, de estas exigencias no se sigue que la falta de desarrollo legislativo de tal derecho constitucional pueda ser invocada para negar su e</w:t>
      </w:r>
      <w:r>
        <w:rPr>
          <w:rFonts w:ascii="Constantia" w:eastAsia="Constantia" w:hAnsi="Constantia" w:cs="Constantia"/>
          <w:color w:val="000000"/>
        </w:rPr>
        <w:t>xigibilidad. Como bien lo indicó está Corporación en la sentencia T-970 de 2014, «la garantía y efectividad de los derechos no depende exclusivamente de la voluntad del legislador. Sin duda es un actor muy importante en la protección de los derechos fundam</w:t>
      </w:r>
      <w:r>
        <w:rPr>
          <w:rFonts w:ascii="Constantia" w:eastAsia="Constantia" w:hAnsi="Constantia" w:cs="Constantia"/>
          <w:color w:val="000000"/>
        </w:rPr>
        <w:t>entales, pero la Constitución, siendo norma de normas, es una norma jurídica que incide directamente en la vida jurídica de los habitantes y se debe utilizar, además, para solucionar casos concretos».</w:t>
      </w:r>
    </w:p>
    <w:p w14:paraId="026DBDD7"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De este modo, es claro que, no solo los jueces de tutel</w:t>
      </w:r>
      <w:r>
        <w:rPr>
          <w:rFonts w:ascii="Constantia" w:eastAsia="Constantia" w:hAnsi="Constantia" w:cs="Constantia"/>
          <w:color w:val="000000"/>
        </w:rPr>
        <w:t>a, sino también los jueces y magistrados de la jurisdicción penal, según las circunstancias específicas del asunto puesto a su consideración y los otros derechos fundamentales o intereses constitucionales en conflicto, están llamados a garantizar, en el ám</w:t>
      </w:r>
      <w:r>
        <w:rPr>
          <w:rFonts w:ascii="Constantia" w:eastAsia="Constantia" w:hAnsi="Constantia" w:cs="Constantia"/>
          <w:color w:val="000000"/>
        </w:rPr>
        <w:t xml:space="preserve">bito de sus </w:t>
      </w:r>
      <w:r>
        <w:rPr>
          <w:rFonts w:ascii="Constantia" w:eastAsia="Constantia" w:hAnsi="Constantia" w:cs="Constantia"/>
          <w:color w:val="000000"/>
        </w:rPr>
        <w:lastRenderedPageBreak/>
        <w:t>competencias, la mayor realización posible del derecho a impugnar el primer fallo inculpatorio. Así lo anotó este Tribunal en el numeral tercero de la parte resolutiva de la Sentencia SU-215 de 2016, al referirse al ejercicio del derecho a la d</w:t>
      </w:r>
      <w:r>
        <w:rPr>
          <w:rFonts w:ascii="Constantia" w:eastAsia="Constantia" w:hAnsi="Constantia" w:cs="Constantia"/>
          <w:color w:val="000000"/>
        </w:rPr>
        <w:t>oble conformidad judicial respecto de la condena emitida por primera vez en casación: «la Corte Suprema de Justicia, dentro de sus competencias, o en su defecto el juez constitucional, atenderá a las circunstancias de cada caso para definir la forma de gar</w:t>
      </w:r>
      <w:r>
        <w:rPr>
          <w:rFonts w:ascii="Constantia" w:eastAsia="Constantia" w:hAnsi="Constantia" w:cs="Constantia"/>
          <w:color w:val="000000"/>
        </w:rPr>
        <w:t>antizar el derecho constitucional a impugnar la sentencia condenatoria impuesta por primera vez por su Sala de Casación Penal»”</w:t>
      </w:r>
    </w:p>
    <w:p w14:paraId="47189A93"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En ese sentido, si bien la Corte Constitucional ha reconocido las reglas que ha desarrollado la Corte Suprema de Justicia y de q</w:t>
      </w:r>
      <w:r>
        <w:rPr>
          <w:rFonts w:ascii="Constantia" w:eastAsia="Constantia" w:hAnsi="Constantia" w:cs="Constantia"/>
          <w:color w:val="000000"/>
        </w:rPr>
        <w:t>ue el vacío ha sido llenado de contenido de forma transitoria, no ha dejado de mencionar que hay un déficit normativo que sólo puede ser cubierto por el legislador. De hecho, el que se sigan fallando tutelas por la Corte Constitucional y la Corte Suprema d</w:t>
      </w:r>
      <w:r>
        <w:rPr>
          <w:rFonts w:ascii="Constantia" w:eastAsia="Constantia" w:hAnsi="Constantia" w:cs="Constantia"/>
          <w:color w:val="000000"/>
        </w:rPr>
        <w:t>e Justicia amparando los derechos a la doble instancia y a la doble conformidad, muestran una problemática que no se ha podido atender de la forma en que corresponde. </w:t>
      </w:r>
    </w:p>
    <w:p w14:paraId="15EEDF76" w14:textId="77777777" w:rsidR="005417E1" w:rsidRDefault="00D17363">
      <w:pPr>
        <w:numPr>
          <w:ilvl w:val="0"/>
          <w:numId w:val="4"/>
        </w:numPr>
        <w:pBdr>
          <w:top w:val="nil"/>
          <w:left w:val="nil"/>
          <w:bottom w:val="nil"/>
          <w:right w:val="nil"/>
          <w:between w:val="nil"/>
        </w:pBdr>
        <w:spacing w:before="240" w:after="240" w:line="276" w:lineRule="auto"/>
        <w:jc w:val="both"/>
        <w:rPr>
          <w:rFonts w:ascii="Times New Roman" w:eastAsia="Times New Roman" w:hAnsi="Times New Roman" w:cs="Times New Roman"/>
          <w:b/>
          <w:color w:val="000000"/>
        </w:rPr>
      </w:pPr>
      <w:r>
        <w:rPr>
          <w:rFonts w:ascii="Constantia" w:eastAsia="Constantia" w:hAnsi="Constantia" w:cs="Constantia"/>
          <w:b/>
          <w:color w:val="000000"/>
        </w:rPr>
        <w:t>Conclusiones sobre la consagración constitucional de la garantía a la doble conformidad judicial en materia penal: </w:t>
      </w:r>
    </w:p>
    <w:p w14:paraId="07FF651F"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Este acápite ha sido desarrollado trayendo en un primer lugar la jurisprudencia constitucional sobre aforados y aforadas constitucionales de</w:t>
      </w:r>
      <w:r>
        <w:rPr>
          <w:rFonts w:ascii="Constantia" w:eastAsia="Constantia" w:hAnsi="Constantia" w:cs="Constantia"/>
          <w:color w:val="000000"/>
        </w:rPr>
        <w:t>bido a que hasta hace relativamente poco fue constitucional un modelo que no garantizaba ni la doble instancia ni la doble conformidad en procesos que se adelantaban contra ellas y ellos. Desde el año 2014 la situación comenzó a cambiar con la histórica se</w:t>
      </w:r>
      <w:r>
        <w:rPr>
          <w:rFonts w:ascii="Constantia" w:eastAsia="Constantia" w:hAnsi="Constantia" w:cs="Constantia"/>
          <w:color w:val="000000"/>
        </w:rPr>
        <w:t>ntencia C-792 de 2014 que reconoció el derecho a la doble conformidad tanto para aforados constitucionales como para todas las personas que fueran condenadas por primera vez en segunda instancia. </w:t>
      </w:r>
    </w:p>
    <w:p w14:paraId="6BD71307"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Lo anterior creó una situación atípica en la normatividad n</w:t>
      </w:r>
      <w:r>
        <w:rPr>
          <w:rFonts w:ascii="Constantia" w:eastAsia="Constantia" w:hAnsi="Constantia" w:cs="Constantia"/>
          <w:color w:val="000000"/>
        </w:rPr>
        <w:t xml:space="preserve">acional: Las personas aforadas constitucionales y las demás personas que no ostentan esta condición no tenían forma en la cual podían materializar su derecho a la doble conformidad. Por lo tanto, la Corte Constitucional exhortó al Congreso para regular la </w:t>
      </w:r>
      <w:r>
        <w:rPr>
          <w:rFonts w:ascii="Constantia" w:eastAsia="Constantia" w:hAnsi="Constantia" w:cs="Constantia"/>
          <w:color w:val="000000"/>
        </w:rPr>
        <w:t>materia. </w:t>
      </w:r>
    </w:p>
    <w:p w14:paraId="3501D94C"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El Congreso de la República cumplió con su deber parcialmente. El Acto Legislativo 01 de 2018 resolvió la problemática para aforadas y aforados constitucionales. En ese sentido, se creó al interior de la Corte Suprema de Justicia una sala de inst</w:t>
      </w:r>
      <w:r>
        <w:rPr>
          <w:rFonts w:ascii="Constantia" w:eastAsia="Constantia" w:hAnsi="Constantia" w:cs="Constantia"/>
          <w:color w:val="000000"/>
        </w:rPr>
        <w:t xml:space="preserve">rucción y una sala de primera instancia. Por otra parte, el mencionado acto le dio la competencia a la Corte Suprema de Justicia para resolver las solicitudes de </w:t>
      </w:r>
      <w:r>
        <w:rPr>
          <w:rFonts w:ascii="Constantia" w:eastAsia="Constantia" w:hAnsi="Constantia" w:cs="Constantia"/>
          <w:color w:val="000000"/>
        </w:rPr>
        <w:lastRenderedPageBreak/>
        <w:t>doble conformidad. Aunque existían algunas dudas sobre el caso de los aforados constitucionale</w:t>
      </w:r>
      <w:r>
        <w:rPr>
          <w:rFonts w:ascii="Constantia" w:eastAsia="Constantia" w:hAnsi="Constantia" w:cs="Constantia"/>
          <w:color w:val="000000"/>
        </w:rPr>
        <w:t>s, la sentencia SU 146 de 2020 las resolvió. </w:t>
      </w:r>
    </w:p>
    <w:p w14:paraId="22FA05DD"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Sin embargo, el Congreso de la República no ha cumplido su deber de regular la doble conformidad en el caso de la ciudadanía en general. A pesar de la existencia de múltiples sentencias recientes de la Corte Co</w:t>
      </w:r>
      <w:r>
        <w:rPr>
          <w:rFonts w:ascii="Constantia" w:eastAsia="Constantia" w:hAnsi="Constantia" w:cs="Constantia"/>
          <w:color w:val="000000"/>
        </w:rPr>
        <w:t>nstitucional que exhorta al Legislador a cumplir con su deber, y a pesar del juicioso trabajo de la Corte Suprema de Justicia intentando garantizar este derecho para la ciudadanía en general, se necesita una legislación completa que pueda responder a las n</w:t>
      </w:r>
      <w:r>
        <w:rPr>
          <w:rFonts w:ascii="Constantia" w:eastAsia="Constantia" w:hAnsi="Constantia" w:cs="Constantia"/>
          <w:color w:val="000000"/>
        </w:rPr>
        <w:t>ecesidades de las personas. El hecho de que ya se vayan a cumplir diez años, hace que la urgencia de tramitar y discutir este proyecto sea mayor. </w:t>
      </w:r>
    </w:p>
    <w:p w14:paraId="6CBFAD2C" w14:textId="77777777" w:rsidR="005417E1" w:rsidRDefault="00D17363">
      <w:pPr>
        <w:spacing w:line="276" w:lineRule="auto"/>
        <w:rPr>
          <w:rFonts w:ascii="Times New Roman" w:eastAsia="Times New Roman" w:hAnsi="Times New Roman" w:cs="Times New Roman"/>
        </w:rPr>
      </w:pPr>
      <w:r>
        <w:rPr>
          <w:rFonts w:ascii="Constantia" w:eastAsia="Constantia" w:hAnsi="Constantia" w:cs="Constantia"/>
          <w:b/>
          <w:color w:val="000000"/>
        </w:rPr>
        <w:t>IV. TRÁMITE DEL PROYECTO: </w:t>
      </w:r>
    </w:p>
    <w:p w14:paraId="1063728A" w14:textId="77777777" w:rsidR="005417E1" w:rsidRDefault="005417E1">
      <w:pPr>
        <w:spacing w:line="276" w:lineRule="auto"/>
        <w:rPr>
          <w:rFonts w:ascii="Times New Roman" w:eastAsia="Times New Roman" w:hAnsi="Times New Roman" w:cs="Times New Roman"/>
        </w:rPr>
      </w:pPr>
    </w:p>
    <w:p w14:paraId="522DCDDB"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La presente iniciativa tiene por objeto positivizar y reglamentar el recurso de i</w:t>
      </w:r>
      <w:r>
        <w:rPr>
          <w:rFonts w:ascii="Constantia" w:eastAsia="Constantia" w:hAnsi="Constantia" w:cs="Constantia"/>
          <w:color w:val="000000"/>
        </w:rPr>
        <w:t>mpugnación especial para salvaguardar la garantía de acceso a la doble conformidad judicial propia del derecho al debido proceso, en obediencia a los mandatos establecidos por la Corte Interamericana de Derechos Humanos y la Corte Constitucional colombiana</w:t>
      </w:r>
      <w:r>
        <w:rPr>
          <w:rFonts w:ascii="Constantia" w:eastAsia="Constantia" w:hAnsi="Constantia" w:cs="Constantia"/>
          <w:color w:val="000000"/>
        </w:rPr>
        <w:t xml:space="preserve"> y en atención a las condiciones previamente desarrolladas por la Sala Penal de la Corte de Justicia. </w:t>
      </w:r>
    </w:p>
    <w:p w14:paraId="423F2D77" w14:textId="77777777" w:rsidR="005417E1" w:rsidRDefault="005417E1">
      <w:pPr>
        <w:spacing w:line="276" w:lineRule="auto"/>
        <w:rPr>
          <w:rFonts w:ascii="Times New Roman" w:eastAsia="Times New Roman" w:hAnsi="Times New Roman" w:cs="Times New Roman"/>
        </w:rPr>
      </w:pPr>
    </w:p>
    <w:p w14:paraId="0CBFFF15"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El mecanismo procesal para garantizar la doble conformidad judicial no se ha integrado aún al ordenamiento jurídico colombiano y representa un rezago no</w:t>
      </w:r>
      <w:r>
        <w:rPr>
          <w:rFonts w:ascii="Constantia" w:eastAsia="Constantia" w:hAnsi="Constantia" w:cs="Constantia"/>
          <w:color w:val="000000"/>
        </w:rPr>
        <w:t>rmativo que no ha sido atendido por el Congreso de la República a pesar de que desde 2018 con el Acto legislativo 01/2018 se implementó la garantía a nivel constitucional. Por cuenta del sinnúmero de casos que se presentaron ante juez constitucional para s</w:t>
      </w:r>
      <w:r>
        <w:rPr>
          <w:rFonts w:ascii="Constantia" w:eastAsia="Constantia" w:hAnsi="Constantia" w:cs="Constantia"/>
          <w:color w:val="000000"/>
        </w:rPr>
        <w:t>alvaguardar la garantía de doble conformidad la Corte Constitucional debió unificar su jurisprudencia en la materia y ha exhortado al Congreso a regular para que coexista correctamente con los recursos extraordinarios, a través de las SU-792 de 2014, SU-21</w:t>
      </w:r>
      <w:r>
        <w:rPr>
          <w:rFonts w:ascii="Constantia" w:eastAsia="Constantia" w:hAnsi="Constantia" w:cs="Constantia"/>
          <w:color w:val="000000"/>
        </w:rPr>
        <w:t>7 de 2019 y SU-006 y 07 de 2023. </w:t>
      </w:r>
    </w:p>
    <w:p w14:paraId="3CA97BBB" w14:textId="77777777" w:rsidR="005417E1" w:rsidRDefault="005417E1">
      <w:pPr>
        <w:spacing w:line="276" w:lineRule="auto"/>
        <w:rPr>
          <w:rFonts w:ascii="Times New Roman" w:eastAsia="Times New Roman" w:hAnsi="Times New Roman" w:cs="Times New Roman"/>
        </w:rPr>
      </w:pPr>
    </w:p>
    <w:p w14:paraId="4CFC8A20"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A raíz de los vacíos normativos la Sala Penal de la Corte Suprema de Justicia al encontrarse con casos que ameritan la procedencia de un recurso para garantizar la doble conformidad resolvió a través de su propia jurispru</w:t>
      </w:r>
      <w:r>
        <w:rPr>
          <w:rFonts w:ascii="Constantia" w:eastAsia="Constantia" w:hAnsi="Constantia" w:cs="Constantia"/>
          <w:color w:val="000000"/>
        </w:rPr>
        <w:t>dencia establecer la forma, el tiempo y la oportunidad en que esta procedería tal y como se expuso en los antecedentes.</w:t>
      </w:r>
    </w:p>
    <w:p w14:paraId="0F4BDB9F" w14:textId="77777777" w:rsidR="005417E1" w:rsidRDefault="005417E1">
      <w:pPr>
        <w:spacing w:line="276" w:lineRule="auto"/>
        <w:rPr>
          <w:rFonts w:ascii="Times New Roman" w:eastAsia="Times New Roman" w:hAnsi="Times New Roman" w:cs="Times New Roman"/>
        </w:rPr>
      </w:pPr>
    </w:p>
    <w:p w14:paraId="6C352F1C"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lastRenderedPageBreak/>
        <w:t xml:space="preserve">Este proyecto busca implementar en la norma procesal aplicable las condiciones que ya ha desarrollado la jurisprudencia y así permitir </w:t>
      </w:r>
      <w:r>
        <w:rPr>
          <w:rFonts w:ascii="Constantia" w:eastAsia="Constantia" w:hAnsi="Constantia" w:cs="Constantia"/>
          <w:color w:val="000000"/>
        </w:rPr>
        <w:t>de un lado, que la Sala de Casación penal  siga tramitando el recurso de impugnación especial de la manera en que ella lo ha establecido para evitar traumatismos institucionales o que se ralenticen los procesos; y de otro, que todas las personas conozcan e</w:t>
      </w:r>
      <w:r>
        <w:rPr>
          <w:rFonts w:ascii="Constantia" w:eastAsia="Constantia" w:hAnsi="Constantia" w:cs="Constantia"/>
          <w:color w:val="000000"/>
        </w:rPr>
        <w:t>l mecanismo y puedan consultar en la ley las condiciones para que este proceda, pues la consagración misma del mecanismo en la norma es garantía de la disponibilidad y procedibilidad del recurso. </w:t>
      </w:r>
    </w:p>
    <w:p w14:paraId="4F5D48E5" w14:textId="77777777" w:rsidR="005417E1" w:rsidRDefault="005417E1">
      <w:pPr>
        <w:spacing w:line="276" w:lineRule="auto"/>
        <w:rPr>
          <w:rFonts w:ascii="Times New Roman" w:eastAsia="Times New Roman" w:hAnsi="Times New Roman" w:cs="Times New Roman"/>
        </w:rPr>
      </w:pPr>
    </w:p>
    <w:p w14:paraId="48C25F9E"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En esta iniciativa legislativa no se incluyen modificacion</w:t>
      </w:r>
      <w:r>
        <w:rPr>
          <w:rFonts w:ascii="Constantia" w:eastAsia="Constantia" w:hAnsi="Constantia" w:cs="Constantia"/>
          <w:color w:val="000000"/>
        </w:rPr>
        <w:t>es a la organización actual de la sala de casación penal, pues se busca el establecimiento del recurso de impugnación especial en la ley procesal penal en los términos ya preceptuados por la Alta Corte pero no una composición distinta de la Sala, dependerá</w:t>
      </w:r>
      <w:r>
        <w:rPr>
          <w:rFonts w:ascii="Constantia" w:eastAsia="Constantia" w:hAnsi="Constantia" w:cs="Constantia"/>
          <w:color w:val="000000"/>
        </w:rPr>
        <w:t xml:space="preserve"> de nuevas iniciativas ampliar la sala para que su capacidad sea mayor y pueda atender con mayor celeridad los recursos que a día de hoy resuelve. </w:t>
      </w:r>
    </w:p>
    <w:p w14:paraId="63DB15D9" w14:textId="77777777" w:rsidR="005417E1" w:rsidRDefault="005417E1">
      <w:pPr>
        <w:spacing w:line="276" w:lineRule="auto"/>
        <w:rPr>
          <w:rFonts w:ascii="Times New Roman" w:eastAsia="Times New Roman" w:hAnsi="Times New Roman" w:cs="Times New Roman"/>
        </w:rPr>
      </w:pPr>
    </w:p>
    <w:p w14:paraId="66E223C9"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En nuestra historia constitucional ha sido recurrente que puedan existir normas que tengan reserva de ley e</w:t>
      </w:r>
      <w:r>
        <w:rPr>
          <w:rFonts w:ascii="Constantia" w:eastAsia="Constantia" w:hAnsi="Constantia" w:cs="Constantia"/>
          <w:color w:val="000000"/>
        </w:rPr>
        <w:t>statutaria y a la vez tengan contenido de ley ordinaria. La Corte Constitucional se refirió desde muy temprano sobre la materia. En la sentencia C-193 de 2005 la Corte menciona lo siguiente:</w:t>
      </w:r>
    </w:p>
    <w:p w14:paraId="0C83BCD3" w14:textId="77777777" w:rsidR="005417E1" w:rsidRDefault="005417E1">
      <w:pPr>
        <w:spacing w:line="276" w:lineRule="auto"/>
        <w:rPr>
          <w:rFonts w:ascii="Times New Roman" w:eastAsia="Times New Roman" w:hAnsi="Times New Roman" w:cs="Times New Roman"/>
        </w:rPr>
      </w:pPr>
    </w:p>
    <w:p w14:paraId="34EFA639" w14:textId="77777777" w:rsidR="005417E1" w:rsidRDefault="00D17363">
      <w:pPr>
        <w:spacing w:line="276" w:lineRule="auto"/>
        <w:ind w:left="720" w:right="242"/>
        <w:jc w:val="both"/>
        <w:rPr>
          <w:rFonts w:ascii="Times New Roman" w:eastAsia="Times New Roman" w:hAnsi="Times New Roman" w:cs="Times New Roman"/>
        </w:rPr>
      </w:pPr>
      <w:r>
        <w:rPr>
          <w:rFonts w:ascii="Constantia" w:eastAsia="Constantia" w:hAnsi="Constantia" w:cs="Constantia"/>
          <w:color w:val="000000"/>
          <w:sz w:val="22"/>
          <w:szCs w:val="22"/>
        </w:rPr>
        <w:t>“(...)  la inclusión de asuntos sometidos a la reserva de ley estatutaria dentro de una ley ordinaria, no obliga a que la totalidad de la ley deba ser tramitada por el mismo procedimiento excepcional. En este caso, sólo aquellos asuntos que afecten el núcl</w:t>
      </w:r>
      <w:r>
        <w:rPr>
          <w:rFonts w:ascii="Constantia" w:eastAsia="Constantia" w:hAnsi="Constantia" w:cs="Constantia"/>
          <w:color w:val="000000"/>
          <w:sz w:val="22"/>
          <w:szCs w:val="22"/>
        </w:rPr>
        <w:t>eo esencial de derechos fundamentales, bien sea porque restringen o limitan su ejercicio o su garantía, deben ser tramitados como ley estatutaria, pero los demás asuntos no cobijados por este criterio material pueden recibir el trámite de una ley ordinaria</w:t>
      </w:r>
      <w:r>
        <w:rPr>
          <w:rFonts w:ascii="Constantia" w:eastAsia="Constantia" w:hAnsi="Constantia" w:cs="Constantia"/>
          <w:color w:val="000000"/>
          <w:sz w:val="22"/>
          <w:szCs w:val="22"/>
        </w:rPr>
        <w:t>.”</w:t>
      </w:r>
    </w:p>
    <w:p w14:paraId="68C89BB1" w14:textId="77777777" w:rsidR="005417E1" w:rsidRDefault="005417E1">
      <w:pPr>
        <w:spacing w:line="276" w:lineRule="auto"/>
        <w:rPr>
          <w:rFonts w:ascii="Times New Roman" w:eastAsia="Times New Roman" w:hAnsi="Times New Roman" w:cs="Times New Roman"/>
        </w:rPr>
      </w:pPr>
    </w:p>
    <w:p w14:paraId="7309BDF9" w14:textId="77777777" w:rsidR="005417E1" w:rsidRDefault="00D17363">
      <w:pPr>
        <w:spacing w:line="276" w:lineRule="auto"/>
        <w:ind w:right="242"/>
        <w:jc w:val="both"/>
        <w:rPr>
          <w:rFonts w:ascii="Times New Roman" w:eastAsia="Times New Roman" w:hAnsi="Times New Roman" w:cs="Times New Roman"/>
        </w:rPr>
      </w:pPr>
      <w:r>
        <w:rPr>
          <w:rFonts w:ascii="Constantia" w:eastAsia="Constantia" w:hAnsi="Constantia" w:cs="Constantia"/>
          <w:color w:val="000000"/>
        </w:rPr>
        <w:t>La Corte Constitucional mediante sentencia C-756 de 2008 estableció los criterios para delimitar el ámbito de la reserva de ley estatutaria en materia de derechos y deberes fundamentales de la siguiente manera:</w:t>
      </w:r>
    </w:p>
    <w:p w14:paraId="57C9F024" w14:textId="77777777" w:rsidR="005417E1" w:rsidRDefault="005417E1">
      <w:pPr>
        <w:spacing w:line="276" w:lineRule="auto"/>
        <w:rPr>
          <w:rFonts w:ascii="Times New Roman" w:eastAsia="Times New Roman" w:hAnsi="Times New Roman" w:cs="Times New Roman"/>
        </w:rPr>
      </w:pPr>
    </w:p>
    <w:p w14:paraId="790E8A7D" w14:textId="77777777" w:rsidR="005417E1" w:rsidRDefault="00D17363">
      <w:pPr>
        <w:spacing w:line="276" w:lineRule="auto"/>
        <w:ind w:left="720" w:right="242"/>
        <w:jc w:val="both"/>
        <w:rPr>
          <w:rFonts w:ascii="Times New Roman" w:eastAsia="Times New Roman" w:hAnsi="Times New Roman" w:cs="Times New Roman"/>
        </w:rPr>
      </w:pPr>
      <w:r>
        <w:rPr>
          <w:rFonts w:ascii="Constantia" w:eastAsia="Constantia" w:hAnsi="Constantia" w:cs="Constantia"/>
          <w:i/>
          <w:color w:val="000000"/>
          <w:sz w:val="22"/>
          <w:szCs w:val="22"/>
        </w:rPr>
        <w:t>“(i) La reserva de ley estatutaria en ma</w:t>
      </w:r>
      <w:r>
        <w:rPr>
          <w:rFonts w:ascii="Constantia" w:eastAsia="Constantia" w:hAnsi="Constantia" w:cs="Constantia"/>
          <w:i/>
          <w:color w:val="000000"/>
          <w:sz w:val="22"/>
          <w:szCs w:val="22"/>
        </w:rPr>
        <w:t xml:space="preserve">teria de derechos fundamentales es excepcional, en tanto que la regla general se mantiene a favor del Legislador ordinario; </w:t>
      </w:r>
      <w:r>
        <w:rPr>
          <w:rFonts w:ascii="Constantia" w:eastAsia="Constantia" w:hAnsi="Constantia" w:cs="Constantia"/>
          <w:color w:val="000000"/>
          <w:sz w:val="22"/>
          <w:szCs w:val="22"/>
        </w:rPr>
        <w:t>(</w:t>
      </w:r>
      <w:r>
        <w:rPr>
          <w:rFonts w:ascii="Constantia" w:eastAsia="Constantia" w:hAnsi="Constantia" w:cs="Constantia"/>
          <w:i/>
          <w:color w:val="000000"/>
          <w:sz w:val="22"/>
          <w:szCs w:val="22"/>
        </w:rPr>
        <w:t>ii) La regulación estatutaria u ordinaria no se define por la denominación adoptada por el legislador, sino por su contenido materi</w:t>
      </w:r>
      <w:r>
        <w:rPr>
          <w:rFonts w:ascii="Constantia" w:eastAsia="Constantia" w:hAnsi="Constantia" w:cs="Constantia"/>
          <w:i/>
          <w:color w:val="000000"/>
          <w:sz w:val="22"/>
          <w:szCs w:val="22"/>
        </w:rPr>
        <w:t>al […]. En consecuencia, el trámite legislativo ordinario o estatutario será definido por el contenido del asunto a regular y no por el nombre que el legislador designe;</w:t>
      </w:r>
      <w:r>
        <w:rPr>
          <w:rFonts w:ascii="Constantia" w:eastAsia="Constantia" w:hAnsi="Constantia" w:cs="Constantia"/>
          <w:color w:val="000000"/>
          <w:sz w:val="22"/>
          <w:szCs w:val="22"/>
        </w:rPr>
        <w:t xml:space="preserve"> (</w:t>
      </w:r>
      <w:r>
        <w:rPr>
          <w:rFonts w:ascii="Constantia" w:eastAsia="Constantia" w:hAnsi="Constantia" w:cs="Constantia"/>
          <w:i/>
          <w:color w:val="000000"/>
          <w:sz w:val="22"/>
          <w:szCs w:val="22"/>
        </w:rPr>
        <w:t xml:space="preserve">iii) Mediante ley estatutaria se regula únicamente el núcleo esencial del derecho </w:t>
      </w:r>
      <w:r>
        <w:rPr>
          <w:rFonts w:ascii="Constantia" w:eastAsia="Constantia" w:hAnsi="Constantia" w:cs="Constantia"/>
          <w:i/>
          <w:color w:val="000000"/>
          <w:sz w:val="22"/>
          <w:szCs w:val="22"/>
        </w:rPr>
        <w:lastRenderedPageBreak/>
        <w:t>fun</w:t>
      </w:r>
      <w:r>
        <w:rPr>
          <w:rFonts w:ascii="Constantia" w:eastAsia="Constantia" w:hAnsi="Constantia" w:cs="Constantia"/>
          <w:i/>
          <w:color w:val="000000"/>
          <w:sz w:val="22"/>
          <w:szCs w:val="22"/>
        </w:rPr>
        <w:t>damental, de tal forma que si un derecho tiene mayor</w:t>
      </w:r>
      <w:r>
        <w:rPr>
          <w:rFonts w:ascii="Constantia" w:eastAsia="Constantia" w:hAnsi="Constantia" w:cs="Constantia"/>
          <w:color w:val="000000"/>
          <w:sz w:val="22"/>
          <w:szCs w:val="22"/>
        </w:rPr>
        <w:t xml:space="preserve"> </w:t>
      </w:r>
      <w:r>
        <w:rPr>
          <w:rFonts w:ascii="Constantia" w:eastAsia="Constantia" w:hAnsi="Constantia" w:cs="Constantia"/>
          <w:i/>
          <w:color w:val="000000"/>
          <w:sz w:val="22"/>
          <w:szCs w:val="22"/>
        </w:rPr>
        <w:t>margen de configuración legal, será menor la reglamentación por ley estatutaria; (iv) Las regulaciones integrales de los derechos fundamentales debe realizarse mediante ley cualificada y, (v) Los element</w:t>
      </w:r>
      <w:r>
        <w:rPr>
          <w:rFonts w:ascii="Constantia" w:eastAsia="Constantia" w:hAnsi="Constantia" w:cs="Constantia"/>
          <w:i/>
          <w:color w:val="000000"/>
          <w:sz w:val="22"/>
          <w:szCs w:val="22"/>
        </w:rPr>
        <w:t>os estructurales esenciales del derecho fundamental deben regularse mediante ley estatutaria. De esta forma, es claro que la regulación puntual y detallada del derecho corresponde al legislador ordinario”</w:t>
      </w:r>
      <w:r>
        <w:rPr>
          <w:rFonts w:ascii="Constantia" w:eastAsia="Constantia" w:hAnsi="Constantia" w:cs="Constantia"/>
          <w:color w:val="000000"/>
          <w:sz w:val="22"/>
          <w:szCs w:val="22"/>
        </w:rPr>
        <w:t>.</w:t>
      </w:r>
    </w:p>
    <w:p w14:paraId="3DE3CF74" w14:textId="77777777" w:rsidR="005417E1" w:rsidRDefault="005417E1">
      <w:pPr>
        <w:spacing w:line="276" w:lineRule="auto"/>
        <w:rPr>
          <w:rFonts w:ascii="Times New Roman" w:eastAsia="Times New Roman" w:hAnsi="Times New Roman" w:cs="Times New Roman"/>
        </w:rPr>
      </w:pPr>
    </w:p>
    <w:p w14:paraId="679A5A4C" w14:textId="77777777" w:rsidR="005417E1" w:rsidRDefault="00D17363">
      <w:pPr>
        <w:spacing w:line="276" w:lineRule="auto"/>
        <w:ind w:right="242"/>
        <w:jc w:val="both"/>
        <w:rPr>
          <w:rFonts w:ascii="Times New Roman" w:eastAsia="Times New Roman" w:hAnsi="Times New Roman" w:cs="Times New Roman"/>
        </w:rPr>
      </w:pPr>
      <w:r>
        <w:rPr>
          <w:rFonts w:ascii="Constantia" w:eastAsia="Constantia" w:hAnsi="Constantia" w:cs="Constantia"/>
          <w:color w:val="000000"/>
        </w:rPr>
        <w:t>Finalmente, esta misma corporación mediante sente</w:t>
      </w:r>
      <w:r>
        <w:rPr>
          <w:rFonts w:ascii="Constantia" w:eastAsia="Constantia" w:hAnsi="Constantia" w:cs="Constantia"/>
          <w:color w:val="000000"/>
        </w:rPr>
        <w:t xml:space="preserve">ncia C-370 de 2019 estableció que, </w:t>
      </w:r>
      <w:r>
        <w:rPr>
          <w:rFonts w:ascii="Constantia" w:eastAsia="Constantia" w:hAnsi="Constantia" w:cs="Constantia"/>
          <w:i/>
          <w:color w:val="000000"/>
        </w:rPr>
        <w:t>“aun cuando la regulación de procedimientos necesariamente esté relacionada con el ejercicio de derechos fundamentales, por regla general se trata de materias que deben tramitarse mediante leyes ordinarias”</w:t>
      </w:r>
      <w:r>
        <w:rPr>
          <w:rFonts w:ascii="Constantia" w:eastAsia="Constantia" w:hAnsi="Constantia" w:cs="Constantia"/>
          <w:color w:val="000000"/>
        </w:rPr>
        <w:t>.</w:t>
      </w:r>
    </w:p>
    <w:p w14:paraId="2787088D" w14:textId="77777777" w:rsidR="005417E1" w:rsidRDefault="005417E1">
      <w:pPr>
        <w:spacing w:line="276" w:lineRule="auto"/>
        <w:rPr>
          <w:rFonts w:ascii="Times New Roman" w:eastAsia="Times New Roman" w:hAnsi="Times New Roman" w:cs="Times New Roman"/>
        </w:rPr>
      </w:pPr>
    </w:p>
    <w:p w14:paraId="025FD521"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 xml:space="preserve">En este sentido, y teniendo en cuenta los criterios establecidos por la Corte Constitucional </w:t>
      </w:r>
      <w:r>
        <w:rPr>
          <w:rFonts w:ascii="Constantia" w:eastAsia="Constantia" w:hAnsi="Constantia" w:cs="Constantia"/>
          <w:b/>
          <w:color w:val="000000"/>
        </w:rPr>
        <w:t>el texto contenido en el artículo dos (02) tiene reserva de ley estatutaria</w:t>
      </w:r>
      <w:r>
        <w:rPr>
          <w:rFonts w:ascii="Constantia" w:eastAsia="Constantia" w:hAnsi="Constantia" w:cs="Constantia"/>
          <w:color w:val="000000"/>
        </w:rPr>
        <w:t>, por lo que su aprobación deberá estar sometida a los requisitos especiales previstos p</w:t>
      </w:r>
      <w:r>
        <w:rPr>
          <w:rFonts w:ascii="Constantia" w:eastAsia="Constantia" w:hAnsi="Constantia" w:cs="Constantia"/>
          <w:color w:val="000000"/>
        </w:rPr>
        <w:t>ara este tipo de de norma consagrados en el artículo 152 constitucional. Lo anterior, no obsta para que todo el texto de la ley tenga reserva de ley estatutaria, pues el desarrollo que se hace sobre la garantía de la doble conformidad se hace de forma proc</w:t>
      </w:r>
      <w:r>
        <w:rPr>
          <w:rFonts w:ascii="Constantia" w:eastAsia="Constantia" w:hAnsi="Constantia" w:cs="Constantia"/>
          <w:color w:val="000000"/>
        </w:rPr>
        <w:t>esal, sin que en ningún caso se esté desarrollando el núcleo esencial del derecho. En otras palabras, solo se está haciendo una modificación al régimen procesal desarrollado en el código de procedimiento penal (Ley 906 de 2004) para insertar el recurso por</w:t>
      </w:r>
      <w:r>
        <w:rPr>
          <w:rFonts w:ascii="Constantia" w:eastAsia="Constantia" w:hAnsi="Constantia" w:cs="Constantia"/>
          <w:color w:val="000000"/>
        </w:rPr>
        <w:t xml:space="preserve"> medio del cual se materializa la garantía de doble conformidad judicial. </w:t>
      </w:r>
    </w:p>
    <w:p w14:paraId="3180068A" w14:textId="77777777" w:rsidR="005417E1" w:rsidRDefault="005417E1">
      <w:pPr>
        <w:spacing w:line="276" w:lineRule="auto"/>
        <w:rPr>
          <w:rFonts w:ascii="Times New Roman" w:eastAsia="Times New Roman" w:hAnsi="Times New Roman" w:cs="Times New Roman"/>
        </w:rPr>
      </w:pPr>
    </w:p>
    <w:p w14:paraId="1787B4C7" w14:textId="77777777" w:rsidR="005417E1" w:rsidRDefault="00D17363">
      <w:pPr>
        <w:spacing w:line="276" w:lineRule="auto"/>
        <w:rPr>
          <w:rFonts w:ascii="Times New Roman" w:eastAsia="Times New Roman" w:hAnsi="Times New Roman" w:cs="Times New Roman"/>
        </w:rPr>
      </w:pPr>
      <w:r>
        <w:rPr>
          <w:rFonts w:ascii="Constantia" w:eastAsia="Constantia" w:hAnsi="Constantia" w:cs="Constantia"/>
          <w:b/>
          <w:color w:val="000000"/>
        </w:rPr>
        <w:t>V. CONFLICTO DE INTERÉS:</w:t>
      </w:r>
    </w:p>
    <w:p w14:paraId="4C2EFC33" w14:textId="77777777" w:rsidR="005417E1" w:rsidRDefault="005417E1">
      <w:pPr>
        <w:spacing w:line="276" w:lineRule="auto"/>
        <w:rPr>
          <w:rFonts w:ascii="Times New Roman" w:eastAsia="Times New Roman" w:hAnsi="Times New Roman" w:cs="Times New Roman"/>
        </w:rPr>
      </w:pPr>
    </w:p>
    <w:p w14:paraId="418E1C6D"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De acuerdo a lo dispuesto en el artículo 291 de la ley 5ª de 1992, modificado por la ley 2003 de 2019, se indicarán las circunstancias o eventos que poten</w:t>
      </w:r>
      <w:r>
        <w:rPr>
          <w:rFonts w:ascii="Constantia" w:eastAsia="Constantia" w:hAnsi="Constantia" w:cs="Constantia"/>
          <w:color w:val="000000"/>
        </w:rPr>
        <w:t xml:space="preserve">cialmente pueden generar un conflicto de interés para los honorables congresistas que discutan y decidan el presente proyecto de ley. De la misma manera, el artículo 286 de la norma mencionada, modificado a su vez por el artículo 1 de la ley 2003 de 2019, </w:t>
      </w:r>
      <w:r>
        <w:rPr>
          <w:rFonts w:ascii="Constantia" w:eastAsia="Constantia" w:hAnsi="Constantia" w:cs="Constantia"/>
          <w:color w:val="000000"/>
        </w:rPr>
        <w:t>define el conflicto de interés como la “</w:t>
      </w:r>
      <w:r>
        <w:rPr>
          <w:rFonts w:ascii="Constantia" w:eastAsia="Constantia" w:hAnsi="Constantia" w:cs="Constantia"/>
          <w:i/>
          <w:color w:val="000000"/>
        </w:rPr>
        <w:t>situación donde al discusión o votación de un proyecto de ley o acto legislativo, o artículo pueda resultar en un beneficio particular, actual y directo a favor del congresista</w:t>
      </w:r>
      <w:r>
        <w:rPr>
          <w:rFonts w:ascii="Constantia" w:eastAsia="Constantia" w:hAnsi="Constantia" w:cs="Constantia"/>
          <w:color w:val="000000"/>
        </w:rPr>
        <w:t>”.</w:t>
      </w:r>
    </w:p>
    <w:p w14:paraId="03E54AA8" w14:textId="77777777" w:rsidR="005417E1" w:rsidRDefault="005417E1">
      <w:pPr>
        <w:spacing w:line="276" w:lineRule="auto"/>
        <w:rPr>
          <w:rFonts w:ascii="Times New Roman" w:eastAsia="Times New Roman" w:hAnsi="Times New Roman" w:cs="Times New Roman"/>
        </w:rPr>
      </w:pPr>
    </w:p>
    <w:p w14:paraId="0E6DC655"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Así las cosas, nos permitimos señala</w:t>
      </w:r>
      <w:r>
        <w:rPr>
          <w:rFonts w:ascii="Constantia" w:eastAsia="Constantia" w:hAnsi="Constantia" w:cs="Constantia"/>
          <w:color w:val="000000"/>
        </w:rPr>
        <w:t>r que esta iniciativa legislativa tiene carácter general pues establece la reforma a un procedimiento especial en procura de mejorar el mismo y hacerlo más eficiente de cara a las exigencia de la ciudadanía. Ningún provecho particular obtienen los Congresi</w:t>
      </w:r>
      <w:r>
        <w:rPr>
          <w:rFonts w:ascii="Constantia" w:eastAsia="Constantia" w:hAnsi="Constantia" w:cs="Constantia"/>
          <w:color w:val="000000"/>
        </w:rPr>
        <w:t xml:space="preserve">stas de la República al establecer </w:t>
      </w:r>
      <w:r>
        <w:rPr>
          <w:rFonts w:ascii="Constantia" w:eastAsia="Constantia" w:hAnsi="Constantia" w:cs="Constantia"/>
          <w:color w:val="000000"/>
        </w:rPr>
        <w:lastRenderedPageBreak/>
        <w:t>las reglas bajo las cuales debe actuar la Comisión de Acusaciones, por lo que no se evidencia que las y los congresistas puedan incurrir en eventuales conflictos de interés que les impida participar de la discusiòn y vota</w:t>
      </w:r>
      <w:r>
        <w:rPr>
          <w:rFonts w:ascii="Constantia" w:eastAsia="Constantia" w:hAnsi="Constantia" w:cs="Constantia"/>
          <w:color w:val="000000"/>
        </w:rPr>
        <w:t>ción de este proyecto toda vez que no puede predicarse beneficio particular, actual y directo que se dé por la sola transformación del esquema procesal propio de los juicios contra aforados constitucionales. </w:t>
      </w:r>
    </w:p>
    <w:p w14:paraId="245E604E" w14:textId="77777777" w:rsidR="005417E1" w:rsidRDefault="005417E1">
      <w:pPr>
        <w:spacing w:line="276" w:lineRule="auto"/>
        <w:rPr>
          <w:rFonts w:ascii="Times New Roman" w:eastAsia="Times New Roman" w:hAnsi="Times New Roman" w:cs="Times New Roman"/>
        </w:rPr>
      </w:pPr>
    </w:p>
    <w:p w14:paraId="53A1575E"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Lo anterior sin perjuicio de que las y los con</w:t>
      </w:r>
      <w:r>
        <w:rPr>
          <w:rFonts w:ascii="Constantia" w:eastAsia="Constantia" w:hAnsi="Constantia" w:cs="Constantia"/>
          <w:color w:val="000000"/>
        </w:rPr>
        <w:t>gresistas deban examinar  en cada caso en concreto, la existencia de posibles hechos generadores de conflictos de interés, en cuyo caso deberán declararlos oportunamente de conformidad con el artículo 286 de la Ley 5ª de 1992. </w:t>
      </w:r>
    </w:p>
    <w:p w14:paraId="6FA1927A" w14:textId="77777777" w:rsidR="005417E1" w:rsidRDefault="005417E1">
      <w:pPr>
        <w:spacing w:line="276" w:lineRule="auto"/>
        <w:rPr>
          <w:rFonts w:ascii="Times New Roman" w:eastAsia="Times New Roman" w:hAnsi="Times New Roman" w:cs="Times New Roman"/>
        </w:rPr>
      </w:pPr>
    </w:p>
    <w:p w14:paraId="247D50A7"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 xml:space="preserve">En los anteriores términos </w:t>
      </w:r>
      <w:r>
        <w:rPr>
          <w:rFonts w:ascii="Constantia" w:eastAsia="Constantia" w:hAnsi="Constantia" w:cs="Constantia"/>
          <w:color w:val="000000"/>
        </w:rPr>
        <w:t>queda sustentado el proyecto de ley de la referencia. </w:t>
      </w:r>
    </w:p>
    <w:p w14:paraId="768BD3BB" w14:textId="77777777" w:rsidR="005417E1" w:rsidRDefault="005417E1">
      <w:pPr>
        <w:spacing w:line="276" w:lineRule="auto"/>
        <w:rPr>
          <w:rFonts w:ascii="Times New Roman" w:eastAsia="Times New Roman" w:hAnsi="Times New Roman" w:cs="Times New Roman"/>
        </w:rPr>
      </w:pPr>
    </w:p>
    <w:p w14:paraId="6D46AE8F" w14:textId="77777777" w:rsidR="005417E1" w:rsidRDefault="00D17363">
      <w:pPr>
        <w:spacing w:line="276" w:lineRule="auto"/>
        <w:rPr>
          <w:rFonts w:ascii="Times New Roman" w:eastAsia="Times New Roman" w:hAnsi="Times New Roman" w:cs="Times New Roman"/>
        </w:rPr>
      </w:pPr>
      <w:r>
        <w:rPr>
          <w:rFonts w:ascii="Constantia" w:eastAsia="Constantia" w:hAnsi="Constantia" w:cs="Constantia"/>
          <w:b/>
          <w:color w:val="000000"/>
        </w:rPr>
        <w:t>VI. IMPACTO FISCAL: </w:t>
      </w:r>
    </w:p>
    <w:p w14:paraId="4BA38714" w14:textId="77777777" w:rsidR="005417E1" w:rsidRDefault="005417E1">
      <w:pPr>
        <w:spacing w:line="276" w:lineRule="auto"/>
        <w:rPr>
          <w:rFonts w:ascii="Times New Roman" w:eastAsia="Times New Roman" w:hAnsi="Times New Roman" w:cs="Times New Roman"/>
        </w:rPr>
      </w:pPr>
    </w:p>
    <w:p w14:paraId="5B81F018"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 xml:space="preserve">Sobre el impacto fiscal de los proyectos de ley, indica la Ley 819 de 2003 </w:t>
      </w:r>
      <w:r>
        <w:rPr>
          <w:rFonts w:ascii="Constantia" w:eastAsia="Constantia" w:hAnsi="Constantia" w:cs="Constantia"/>
          <w:i/>
          <w:color w:val="000000"/>
        </w:rPr>
        <w:t>“Por la cual se dictan normas orgánicas en materia de presupuesto, responsabilidad y transparencia fisc</w:t>
      </w:r>
      <w:r>
        <w:rPr>
          <w:rFonts w:ascii="Constantia" w:eastAsia="Constantia" w:hAnsi="Constantia" w:cs="Constantia"/>
          <w:i/>
          <w:color w:val="000000"/>
        </w:rPr>
        <w:t>al y se dictan otras disposiciones”</w:t>
      </w:r>
      <w:r>
        <w:rPr>
          <w:rFonts w:ascii="Constantia" w:eastAsia="Constantia" w:hAnsi="Constantia" w:cs="Constantia"/>
          <w:color w:val="000000"/>
        </w:rPr>
        <w:t xml:space="preserve">, en su artículo séptimo, que </w:t>
      </w:r>
      <w:r>
        <w:rPr>
          <w:rFonts w:ascii="Constantia" w:eastAsia="Constantia" w:hAnsi="Constantia" w:cs="Constantia"/>
          <w:i/>
          <w:color w:val="000000"/>
        </w:rPr>
        <w:t>“el impacto fiscal de cualquier proyecto de ley, ordenanza o acuerdo, que ordene gasto o que otorgue beneficios tributarios, deberá hacerse explícito y deberá ser compatible con el Marco Fisc</w:t>
      </w:r>
      <w:r>
        <w:rPr>
          <w:rFonts w:ascii="Constantia" w:eastAsia="Constantia" w:hAnsi="Constantia" w:cs="Constantia"/>
          <w:i/>
          <w:color w:val="000000"/>
        </w:rPr>
        <w:t>al de Mediano Plazo. Para estos propósitos, deberá incluirse expresamente en la exposición de motivos y en las ponencias de trámite respectivas los costos fiscales de la iniciativa y la fuente de ingreso adicional generada para el financiamiento de dicho c</w:t>
      </w:r>
      <w:r>
        <w:rPr>
          <w:rFonts w:ascii="Constantia" w:eastAsia="Constantia" w:hAnsi="Constantia" w:cs="Constantia"/>
          <w:i/>
          <w:color w:val="000000"/>
        </w:rPr>
        <w:t>osto”</w:t>
      </w:r>
      <w:r>
        <w:rPr>
          <w:rFonts w:ascii="Constantia" w:eastAsia="Constantia" w:hAnsi="Constantia" w:cs="Constantia"/>
          <w:color w:val="000000"/>
        </w:rPr>
        <w:t>, por lo que, en cumplimiento de dicho requisito, en este apartado se explica los motivos por los que la iniciativa no cuenta con ningún tipo de impacto fiscal. </w:t>
      </w:r>
    </w:p>
    <w:p w14:paraId="22E49CCA" w14:textId="77777777" w:rsidR="005417E1" w:rsidRDefault="005417E1">
      <w:pPr>
        <w:spacing w:line="276" w:lineRule="auto"/>
        <w:rPr>
          <w:rFonts w:ascii="Times New Roman" w:eastAsia="Times New Roman" w:hAnsi="Times New Roman" w:cs="Times New Roman"/>
        </w:rPr>
      </w:pPr>
    </w:p>
    <w:p w14:paraId="375FC394"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Sobre el particular, es menester señalar que esta iniciativa legislativa no genera nuevos costos al Estado, pues solo positiviza un mecanismo procesal para los fines y en los términos que jurisprudencialmente ya funciona y no crea órganos, cargos u otro pa</w:t>
      </w:r>
      <w:r>
        <w:rPr>
          <w:rFonts w:ascii="Constantia" w:eastAsia="Constantia" w:hAnsi="Constantia" w:cs="Constantia"/>
          <w:color w:val="000000"/>
        </w:rPr>
        <w:t>rticular dentro de la rama judicial  que implique erogaciones para el Estado. </w:t>
      </w:r>
    </w:p>
    <w:p w14:paraId="6FDEE891" w14:textId="77777777" w:rsidR="005417E1" w:rsidRDefault="005417E1">
      <w:pPr>
        <w:spacing w:line="276" w:lineRule="auto"/>
        <w:rPr>
          <w:rFonts w:ascii="Times New Roman" w:eastAsia="Times New Roman" w:hAnsi="Times New Roman" w:cs="Times New Roman"/>
        </w:rPr>
      </w:pPr>
    </w:p>
    <w:p w14:paraId="558D00C7"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color w:val="000000"/>
        </w:rPr>
        <w:t xml:space="preserve">Adicionalmente, debe resaltarse que la Corte Constitucional en las sentencias C-502 de 2007 y C-490 de 2011  ha señalado que el impacto fiscal no puede ser, en ningún caso, un </w:t>
      </w:r>
      <w:r>
        <w:rPr>
          <w:rFonts w:ascii="Constantia" w:eastAsia="Constantia" w:hAnsi="Constantia" w:cs="Constantia"/>
          <w:color w:val="000000"/>
        </w:rPr>
        <w:t xml:space="preserve">obstáculo insuperable para el desarrollo de las propuestas legislativas, ni es necesariamente un requisito de trámite para la aprobación de los proyectos, así como tampoco puede constituirse en una barrera para ejercer las </w:t>
      </w:r>
      <w:r>
        <w:rPr>
          <w:rFonts w:ascii="Constantia" w:eastAsia="Constantia" w:hAnsi="Constantia" w:cs="Constantia"/>
          <w:color w:val="000000"/>
        </w:rPr>
        <w:lastRenderedPageBreak/>
        <w:t>funciones legislativas de los con</w:t>
      </w:r>
      <w:r>
        <w:rPr>
          <w:rFonts w:ascii="Constantia" w:eastAsia="Constantia" w:hAnsi="Constantia" w:cs="Constantia"/>
          <w:color w:val="000000"/>
        </w:rPr>
        <w:t>gresistas. En conclusión, la presente iniciativa no modifica de ninguna manera las finanzas públicas ni contraviene el marco fiscal de mediano plazo, pues no requiere recursos públicos para su desarrollo. </w:t>
      </w:r>
    </w:p>
    <w:p w14:paraId="1D63C71C" w14:textId="77777777" w:rsidR="005417E1" w:rsidRDefault="005417E1">
      <w:pPr>
        <w:spacing w:line="276" w:lineRule="auto"/>
        <w:jc w:val="both"/>
        <w:rPr>
          <w:rFonts w:ascii="Times New Roman" w:eastAsia="Times New Roman" w:hAnsi="Times New Roman" w:cs="Times New Roman"/>
        </w:rPr>
      </w:pPr>
    </w:p>
    <w:p w14:paraId="17DA3778" w14:textId="77777777" w:rsidR="005417E1" w:rsidRDefault="00D17363">
      <w:pPr>
        <w:widowControl w:val="0"/>
        <w:spacing w:line="276" w:lineRule="auto"/>
        <w:rPr>
          <w:rFonts w:ascii="Constantia" w:eastAsia="Constantia" w:hAnsi="Constantia" w:cs="Constantia"/>
          <w:b/>
          <w:sz w:val="22"/>
          <w:szCs w:val="22"/>
        </w:rPr>
      </w:pPr>
      <w:r>
        <w:rPr>
          <w:rFonts w:ascii="Constantia" w:eastAsia="Constantia" w:hAnsi="Constantia" w:cs="Constantia"/>
          <w:b/>
          <w:sz w:val="22"/>
          <w:szCs w:val="22"/>
        </w:rPr>
        <w:t>VII. PROPOSICIÓN</w:t>
      </w:r>
    </w:p>
    <w:p w14:paraId="298EB636" w14:textId="77777777" w:rsidR="005417E1" w:rsidRDefault="005417E1">
      <w:pPr>
        <w:widowControl w:val="0"/>
        <w:spacing w:line="276" w:lineRule="auto"/>
        <w:rPr>
          <w:rFonts w:ascii="Constantia" w:eastAsia="Constantia" w:hAnsi="Constantia" w:cs="Constantia"/>
          <w:b/>
          <w:sz w:val="22"/>
          <w:szCs w:val="22"/>
        </w:rPr>
      </w:pPr>
    </w:p>
    <w:p w14:paraId="62F0F142" w14:textId="77777777" w:rsidR="005417E1" w:rsidRDefault="005417E1">
      <w:pPr>
        <w:widowControl w:val="0"/>
        <w:spacing w:line="276" w:lineRule="auto"/>
        <w:rPr>
          <w:rFonts w:ascii="Constantia" w:eastAsia="Constantia" w:hAnsi="Constantia" w:cs="Constantia"/>
          <w:b/>
          <w:sz w:val="22"/>
          <w:szCs w:val="22"/>
        </w:rPr>
      </w:pPr>
    </w:p>
    <w:p w14:paraId="5064614B" w14:textId="77777777" w:rsidR="005417E1" w:rsidRDefault="00D17363">
      <w:pPr>
        <w:spacing w:line="276" w:lineRule="auto"/>
        <w:ind w:right="-125"/>
        <w:jc w:val="both"/>
        <w:rPr>
          <w:rFonts w:ascii="Times New Roman" w:eastAsia="Times New Roman" w:hAnsi="Times New Roman" w:cs="Times New Roman"/>
        </w:rPr>
      </w:pPr>
      <w:r>
        <w:rPr>
          <w:rFonts w:ascii="Constantia" w:eastAsia="Constantia" w:hAnsi="Constantia" w:cs="Constantia"/>
        </w:rPr>
        <w:t>Por los argumentos expuestos a</w:t>
      </w:r>
      <w:r>
        <w:rPr>
          <w:rFonts w:ascii="Constantia" w:eastAsia="Constantia" w:hAnsi="Constantia" w:cs="Constantia"/>
        </w:rPr>
        <w:t>nteriormente, presento ponencia positiva y solicito a los miembros de la Comisión Primera Constitucional Permanente de la Cámara de Representantes dar primer debate y aprobar el Proyecto de Ley No. 084 de 2025 Cámara “Por medio de la cual se modifica la Le</w:t>
      </w:r>
      <w:r>
        <w:rPr>
          <w:rFonts w:ascii="Constantia" w:eastAsia="Constantia" w:hAnsi="Constantia" w:cs="Constantia"/>
        </w:rPr>
        <w:t>y 906 de 2004, se reglamenta la garantía procesal de doble conformidad judicial, se regula el recurso de impugnación especial y se dictan otras disposiciones” conforme al texto propuesto.</w:t>
      </w:r>
    </w:p>
    <w:p w14:paraId="35F55ECD" w14:textId="77777777" w:rsidR="005417E1" w:rsidRDefault="005417E1">
      <w:pPr>
        <w:spacing w:line="276" w:lineRule="auto"/>
        <w:ind w:right="-125"/>
        <w:jc w:val="both"/>
        <w:rPr>
          <w:rFonts w:ascii="Constantia" w:eastAsia="Constantia" w:hAnsi="Constantia" w:cs="Constantia"/>
        </w:rPr>
      </w:pPr>
    </w:p>
    <w:p w14:paraId="2142AF2C" w14:textId="77777777" w:rsidR="005417E1" w:rsidRDefault="005417E1">
      <w:pPr>
        <w:widowControl w:val="0"/>
        <w:spacing w:line="276" w:lineRule="auto"/>
        <w:ind w:right="-125"/>
        <w:rPr>
          <w:rFonts w:ascii="Constantia" w:eastAsia="Constantia" w:hAnsi="Constantia" w:cs="Constantia"/>
          <w:b/>
          <w:sz w:val="22"/>
          <w:szCs w:val="22"/>
        </w:rPr>
      </w:pPr>
    </w:p>
    <w:p w14:paraId="1646F684"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rPr>
        <w:t>Atentamente, </w:t>
      </w:r>
    </w:p>
    <w:p w14:paraId="3B6BDD07" w14:textId="77777777" w:rsidR="005417E1" w:rsidRDefault="005417E1">
      <w:pPr>
        <w:spacing w:line="276" w:lineRule="auto"/>
        <w:rPr>
          <w:rFonts w:ascii="Times New Roman" w:eastAsia="Times New Roman" w:hAnsi="Times New Roman" w:cs="Times New Roman"/>
        </w:rPr>
      </w:pPr>
    </w:p>
    <w:p w14:paraId="340B1C6D" w14:textId="77777777" w:rsidR="005417E1" w:rsidRDefault="005417E1">
      <w:pPr>
        <w:spacing w:line="276" w:lineRule="auto"/>
        <w:rPr>
          <w:rFonts w:ascii="Times New Roman" w:eastAsia="Times New Roman" w:hAnsi="Times New Roman" w:cs="Times New Roman"/>
        </w:rPr>
      </w:pPr>
    </w:p>
    <w:p w14:paraId="294E54FF" w14:textId="77777777" w:rsidR="005417E1" w:rsidRDefault="005417E1">
      <w:pPr>
        <w:spacing w:line="276" w:lineRule="auto"/>
        <w:rPr>
          <w:rFonts w:ascii="Times New Roman" w:eastAsia="Times New Roman" w:hAnsi="Times New Roman" w:cs="Times New Roman"/>
        </w:rPr>
      </w:pPr>
    </w:p>
    <w:p w14:paraId="3D1F747B" w14:textId="77777777" w:rsidR="005417E1" w:rsidRDefault="005417E1">
      <w:pPr>
        <w:spacing w:line="276" w:lineRule="auto"/>
        <w:rPr>
          <w:rFonts w:ascii="Times New Roman" w:eastAsia="Times New Roman" w:hAnsi="Times New Roman" w:cs="Times New Roman"/>
        </w:rPr>
      </w:pPr>
    </w:p>
    <w:p w14:paraId="7AC47536"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b/>
        </w:rPr>
        <w:t>ALIRIO URIBE MUÑOZ</w:t>
      </w:r>
    </w:p>
    <w:p w14:paraId="5DD19359" w14:textId="77777777" w:rsidR="005417E1" w:rsidRDefault="00D17363">
      <w:pPr>
        <w:spacing w:line="276" w:lineRule="auto"/>
        <w:jc w:val="both"/>
        <w:rPr>
          <w:rFonts w:ascii="Constantia" w:eastAsia="Constantia" w:hAnsi="Constantia" w:cs="Constantia"/>
          <w:b/>
        </w:rPr>
      </w:pPr>
      <w:r>
        <w:rPr>
          <w:rFonts w:ascii="Constantia" w:eastAsia="Constantia" w:hAnsi="Constantia" w:cs="Constantia"/>
          <w:b/>
        </w:rPr>
        <w:t>REPRESENTANTE A LA CÁMARA</w:t>
      </w:r>
    </w:p>
    <w:p w14:paraId="4C0EAB8D" w14:textId="77777777" w:rsidR="005417E1" w:rsidRDefault="005417E1">
      <w:pPr>
        <w:spacing w:line="276" w:lineRule="auto"/>
        <w:jc w:val="both"/>
        <w:rPr>
          <w:rFonts w:ascii="Constantia" w:eastAsia="Constantia" w:hAnsi="Constantia" w:cs="Constantia"/>
          <w:b/>
        </w:rPr>
      </w:pPr>
    </w:p>
    <w:p w14:paraId="69D8217A" w14:textId="081C2EE1" w:rsidR="005417E1" w:rsidRDefault="005417E1">
      <w:pPr>
        <w:widowControl w:val="0"/>
        <w:spacing w:line="276" w:lineRule="auto"/>
        <w:rPr>
          <w:rFonts w:ascii="Constantia" w:eastAsia="Constantia" w:hAnsi="Constantia" w:cs="Constantia"/>
          <w:b/>
          <w:sz w:val="22"/>
          <w:szCs w:val="22"/>
        </w:rPr>
      </w:pPr>
    </w:p>
    <w:p w14:paraId="3C3F2749" w14:textId="5DD2E22D" w:rsidR="00D17363" w:rsidRDefault="00D17363">
      <w:pPr>
        <w:widowControl w:val="0"/>
        <w:spacing w:line="276" w:lineRule="auto"/>
        <w:rPr>
          <w:rFonts w:ascii="Constantia" w:eastAsia="Constantia" w:hAnsi="Constantia" w:cs="Constantia"/>
          <w:b/>
          <w:sz w:val="22"/>
          <w:szCs w:val="22"/>
        </w:rPr>
      </w:pPr>
    </w:p>
    <w:p w14:paraId="7E3BBD33" w14:textId="54D63A19" w:rsidR="00D17363" w:rsidRDefault="00D17363">
      <w:pPr>
        <w:widowControl w:val="0"/>
        <w:spacing w:line="276" w:lineRule="auto"/>
        <w:rPr>
          <w:rFonts w:ascii="Constantia" w:eastAsia="Constantia" w:hAnsi="Constantia" w:cs="Constantia"/>
          <w:b/>
          <w:sz w:val="22"/>
          <w:szCs w:val="22"/>
        </w:rPr>
      </w:pPr>
    </w:p>
    <w:p w14:paraId="397FB291" w14:textId="72F22436" w:rsidR="00D17363" w:rsidRDefault="00D17363">
      <w:pPr>
        <w:widowControl w:val="0"/>
        <w:spacing w:line="276" w:lineRule="auto"/>
        <w:rPr>
          <w:rFonts w:ascii="Constantia" w:eastAsia="Constantia" w:hAnsi="Constantia" w:cs="Constantia"/>
          <w:b/>
          <w:sz w:val="22"/>
          <w:szCs w:val="22"/>
        </w:rPr>
      </w:pPr>
    </w:p>
    <w:p w14:paraId="4E642D05" w14:textId="741FE6F7" w:rsidR="00D17363" w:rsidRDefault="00D17363">
      <w:pPr>
        <w:widowControl w:val="0"/>
        <w:spacing w:line="276" w:lineRule="auto"/>
        <w:rPr>
          <w:rFonts w:ascii="Constantia" w:eastAsia="Constantia" w:hAnsi="Constantia" w:cs="Constantia"/>
          <w:b/>
          <w:sz w:val="22"/>
          <w:szCs w:val="22"/>
        </w:rPr>
      </w:pPr>
    </w:p>
    <w:p w14:paraId="06EC7CE2" w14:textId="397F93FD" w:rsidR="00D17363" w:rsidRDefault="00D17363">
      <w:pPr>
        <w:widowControl w:val="0"/>
        <w:spacing w:line="276" w:lineRule="auto"/>
        <w:rPr>
          <w:rFonts w:ascii="Constantia" w:eastAsia="Constantia" w:hAnsi="Constantia" w:cs="Constantia"/>
          <w:b/>
          <w:sz w:val="22"/>
          <w:szCs w:val="22"/>
        </w:rPr>
      </w:pPr>
    </w:p>
    <w:p w14:paraId="6E5D18FD" w14:textId="04949813" w:rsidR="00D17363" w:rsidRDefault="00D17363">
      <w:pPr>
        <w:widowControl w:val="0"/>
        <w:spacing w:line="276" w:lineRule="auto"/>
        <w:rPr>
          <w:rFonts w:ascii="Constantia" w:eastAsia="Constantia" w:hAnsi="Constantia" w:cs="Constantia"/>
          <w:b/>
          <w:sz w:val="22"/>
          <w:szCs w:val="22"/>
        </w:rPr>
      </w:pPr>
    </w:p>
    <w:p w14:paraId="539AD59C" w14:textId="7601B12A" w:rsidR="00D17363" w:rsidRDefault="00D17363">
      <w:pPr>
        <w:widowControl w:val="0"/>
        <w:spacing w:line="276" w:lineRule="auto"/>
        <w:rPr>
          <w:rFonts w:ascii="Constantia" w:eastAsia="Constantia" w:hAnsi="Constantia" w:cs="Constantia"/>
          <w:b/>
          <w:sz w:val="22"/>
          <w:szCs w:val="22"/>
        </w:rPr>
      </w:pPr>
    </w:p>
    <w:p w14:paraId="39F67CE3" w14:textId="4021E835" w:rsidR="00D17363" w:rsidRDefault="00D17363">
      <w:pPr>
        <w:widowControl w:val="0"/>
        <w:spacing w:line="276" w:lineRule="auto"/>
        <w:rPr>
          <w:rFonts w:ascii="Constantia" w:eastAsia="Constantia" w:hAnsi="Constantia" w:cs="Constantia"/>
          <w:b/>
          <w:sz w:val="22"/>
          <w:szCs w:val="22"/>
        </w:rPr>
      </w:pPr>
    </w:p>
    <w:p w14:paraId="6FD607A0" w14:textId="00EF852E" w:rsidR="00D17363" w:rsidRDefault="00D17363">
      <w:pPr>
        <w:widowControl w:val="0"/>
        <w:spacing w:line="276" w:lineRule="auto"/>
        <w:rPr>
          <w:rFonts w:ascii="Constantia" w:eastAsia="Constantia" w:hAnsi="Constantia" w:cs="Constantia"/>
          <w:b/>
          <w:sz w:val="22"/>
          <w:szCs w:val="22"/>
        </w:rPr>
      </w:pPr>
    </w:p>
    <w:p w14:paraId="7FD4F984" w14:textId="28754BEB" w:rsidR="00D17363" w:rsidRDefault="00D17363">
      <w:pPr>
        <w:widowControl w:val="0"/>
        <w:spacing w:line="276" w:lineRule="auto"/>
        <w:rPr>
          <w:rFonts w:ascii="Constantia" w:eastAsia="Constantia" w:hAnsi="Constantia" w:cs="Constantia"/>
          <w:b/>
          <w:sz w:val="22"/>
          <w:szCs w:val="22"/>
        </w:rPr>
      </w:pPr>
    </w:p>
    <w:p w14:paraId="36EE4B44" w14:textId="6ECA41D2" w:rsidR="00D17363" w:rsidRDefault="00D17363">
      <w:pPr>
        <w:widowControl w:val="0"/>
        <w:spacing w:line="276" w:lineRule="auto"/>
        <w:rPr>
          <w:rFonts w:ascii="Constantia" w:eastAsia="Constantia" w:hAnsi="Constantia" w:cs="Constantia"/>
          <w:b/>
          <w:sz w:val="22"/>
          <w:szCs w:val="22"/>
        </w:rPr>
      </w:pPr>
    </w:p>
    <w:p w14:paraId="604C187D" w14:textId="62544F58" w:rsidR="00D17363" w:rsidRDefault="00D17363">
      <w:pPr>
        <w:widowControl w:val="0"/>
        <w:spacing w:line="276" w:lineRule="auto"/>
        <w:rPr>
          <w:rFonts w:ascii="Constantia" w:eastAsia="Constantia" w:hAnsi="Constantia" w:cs="Constantia"/>
          <w:b/>
          <w:sz w:val="22"/>
          <w:szCs w:val="22"/>
        </w:rPr>
      </w:pPr>
    </w:p>
    <w:p w14:paraId="5774DE4D" w14:textId="39810910" w:rsidR="00D17363" w:rsidRDefault="00D17363">
      <w:pPr>
        <w:widowControl w:val="0"/>
        <w:spacing w:line="276" w:lineRule="auto"/>
        <w:rPr>
          <w:rFonts w:ascii="Constantia" w:eastAsia="Constantia" w:hAnsi="Constantia" w:cs="Constantia"/>
          <w:b/>
          <w:sz w:val="22"/>
          <w:szCs w:val="22"/>
        </w:rPr>
      </w:pPr>
    </w:p>
    <w:p w14:paraId="26458388" w14:textId="53D3AE47" w:rsidR="00D17363" w:rsidRDefault="00D17363">
      <w:pPr>
        <w:widowControl w:val="0"/>
        <w:spacing w:line="276" w:lineRule="auto"/>
        <w:rPr>
          <w:rFonts w:ascii="Constantia" w:eastAsia="Constantia" w:hAnsi="Constantia" w:cs="Constantia"/>
          <w:b/>
          <w:sz w:val="22"/>
          <w:szCs w:val="22"/>
        </w:rPr>
      </w:pPr>
    </w:p>
    <w:p w14:paraId="7AD1CAA2" w14:textId="5D5797D2" w:rsidR="00D17363" w:rsidRDefault="00D17363">
      <w:pPr>
        <w:widowControl w:val="0"/>
        <w:spacing w:line="276" w:lineRule="auto"/>
        <w:rPr>
          <w:rFonts w:ascii="Constantia" w:eastAsia="Constantia" w:hAnsi="Constantia" w:cs="Constantia"/>
          <w:b/>
          <w:sz w:val="22"/>
          <w:szCs w:val="22"/>
        </w:rPr>
      </w:pPr>
    </w:p>
    <w:p w14:paraId="23893CAF" w14:textId="77777777" w:rsidR="005417E1" w:rsidRDefault="00D17363">
      <w:pPr>
        <w:widowControl w:val="0"/>
        <w:spacing w:line="276" w:lineRule="auto"/>
        <w:jc w:val="center"/>
        <w:rPr>
          <w:rFonts w:ascii="Constantia" w:eastAsia="Constantia" w:hAnsi="Constantia" w:cs="Constantia"/>
          <w:sz w:val="22"/>
          <w:szCs w:val="22"/>
        </w:rPr>
      </w:pPr>
      <w:r>
        <w:rPr>
          <w:rFonts w:ascii="Constantia" w:eastAsia="Constantia" w:hAnsi="Constantia" w:cs="Constantia"/>
          <w:b/>
          <w:sz w:val="22"/>
          <w:szCs w:val="22"/>
        </w:rPr>
        <w:lastRenderedPageBreak/>
        <w:t>TEXTO PROPUESTO PARA PRIMER DEBATE</w:t>
      </w:r>
    </w:p>
    <w:p w14:paraId="62E9C69C" w14:textId="77777777" w:rsidR="005417E1" w:rsidRDefault="00D17363">
      <w:pPr>
        <w:spacing w:after="200" w:line="276" w:lineRule="auto"/>
        <w:jc w:val="center"/>
        <w:rPr>
          <w:rFonts w:ascii="Times New Roman" w:eastAsia="Times New Roman" w:hAnsi="Times New Roman" w:cs="Times New Roman"/>
        </w:rPr>
      </w:pPr>
      <w:r>
        <w:rPr>
          <w:rFonts w:ascii="Constantia" w:eastAsia="Constantia" w:hAnsi="Constantia" w:cs="Constantia"/>
          <w:b/>
          <w:color w:val="000000"/>
        </w:rPr>
        <w:t>PROYECTO DE LEY No. 084  DE 2025 CÁMARA</w:t>
      </w:r>
    </w:p>
    <w:p w14:paraId="3D7541FD" w14:textId="77777777" w:rsidR="005417E1" w:rsidRDefault="00D17363">
      <w:pPr>
        <w:spacing w:line="276" w:lineRule="auto"/>
        <w:jc w:val="center"/>
        <w:rPr>
          <w:rFonts w:ascii="Times New Roman" w:eastAsia="Times New Roman" w:hAnsi="Times New Roman" w:cs="Times New Roman"/>
        </w:rPr>
      </w:pPr>
      <w:r>
        <w:rPr>
          <w:rFonts w:ascii="Constantia" w:eastAsia="Constantia" w:hAnsi="Constantia" w:cs="Constantia"/>
          <w:b/>
          <w:color w:val="000000"/>
        </w:rPr>
        <w:t>POR MEDIO DE LA CUAL SE MODIFICA LA LEY 906 DE 2004, SE REGLAMENTA LA GARANTÍA PROCESAL DE DOBLE CONFORMIDAD JUDICIAL, SE REGULA EL RECURSO DE IMPUGNACIÓN ESPECIAL Y SE DICTAN OTRAS DISPOSICIONES. </w:t>
      </w:r>
    </w:p>
    <w:p w14:paraId="56714F4A" w14:textId="77777777" w:rsidR="005417E1" w:rsidRDefault="005417E1">
      <w:pPr>
        <w:spacing w:line="276" w:lineRule="auto"/>
        <w:rPr>
          <w:rFonts w:ascii="Times New Roman" w:eastAsia="Times New Roman" w:hAnsi="Times New Roman" w:cs="Times New Roman"/>
        </w:rPr>
      </w:pPr>
    </w:p>
    <w:p w14:paraId="53FBB58E" w14:textId="77777777" w:rsidR="005417E1" w:rsidRDefault="00D17363">
      <w:pPr>
        <w:spacing w:line="276" w:lineRule="auto"/>
        <w:jc w:val="center"/>
        <w:rPr>
          <w:rFonts w:ascii="Times New Roman" w:eastAsia="Times New Roman" w:hAnsi="Times New Roman" w:cs="Times New Roman"/>
        </w:rPr>
      </w:pPr>
      <w:r>
        <w:rPr>
          <w:rFonts w:ascii="Constantia" w:eastAsia="Constantia" w:hAnsi="Constantia" w:cs="Constantia"/>
          <w:b/>
          <w:color w:val="000000"/>
        </w:rPr>
        <w:t>EL CONGRESO DE COLOMBIA</w:t>
      </w:r>
    </w:p>
    <w:p w14:paraId="7A70E319" w14:textId="77777777" w:rsidR="005417E1" w:rsidRDefault="005417E1">
      <w:pPr>
        <w:spacing w:line="276" w:lineRule="auto"/>
        <w:rPr>
          <w:rFonts w:ascii="Times New Roman" w:eastAsia="Times New Roman" w:hAnsi="Times New Roman" w:cs="Times New Roman"/>
        </w:rPr>
      </w:pPr>
    </w:p>
    <w:p w14:paraId="57C5201B" w14:textId="77777777" w:rsidR="005417E1" w:rsidRDefault="00D17363">
      <w:pPr>
        <w:spacing w:line="276" w:lineRule="auto"/>
        <w:jc w:val="center"/>
        <w:rPr>
          <w:rFonts w:ascii="Times New Roman" w:eastAsia="Times New Roman" w:hAnsi="Times New Roman" w:cs="Times New Roman"/>
        </w:rPr>
      </w:pPr>
      <w:r>
        <w:rPr>
          <w:rFonts w:ascii="Constantia" w:eastAsia="Constantia" w:hAnsi="Constantia" w:cs="Constantia"/>
          <w:b/>
          <w:color w:val="000000"/>
        </w:rPr>
        <w:t>DECRETA</w:t>
      </w:r>
    </w:p>
    <w:p w14:paraId="406D868C"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Artículo 1. Objeto:</w:t>
      </w:r>
      <w:r>
        <w:rPr>
          <w:rFonts w:ascii="Constantia" w:eastAsia="Constantia" w:hAnsi="Constantia" w:cs="Constantia"/>
          <w:color w:val="000000"/>
        </w:rPr>
        <w:t xml:space="preserve"> La p</w:t>
      </w:r>
      <w:r>
        <w:rPr>
          <w:rFonts w:ascii="Constantia" w:eastAsia="Constantia" w:hAnsi="Constantia" w:cs="Constantia"/>
          <w:color w:val="000000"/>
        </w:rPr>
        <w:t>resente ley desarrolla la garantía de doble conformidad judicial en materia penal, incorpora el recurso de impugnación especial al régimen procesal penal y dispone su presentación y trámite.</w:t>
      </w:r>
      <w:r>
        <w:rPr>
          <w:rFonts w:ascii="Constantia" w:eastAsia="Constantia" w:hAnsi="Constantia" w:cs="Constantia"/>
          <w:b/>
          <w:color w:val="000000"/>
        </w:rPr>
        <w:t> </w:t>
      </w:r>
    </w:p>
    <w:p w14:paraId="44CF816D"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Artículo 2. Acceso a la garantía de doble conformidad judicial:</w:t>
      </w:r>
      <w:r>
        <w:rPr>
          <w:rFonts w:ascii="Constantia" w:eastAsia="Constantia" w:hAnsi="Constantia" w:cs="Constantia"/>
          <w:color w:val="000000"/>
        </w:rPr>
        <w:t xml:space="preserve"> </w:t>
      </w:r>
      <w:r>
        <w:rPr>
          <w:rFonts w:ascii="Constantia" w:eastAsia="Constantia" w:hAnsi="Constantia" w:cs="Constantia"/>
          <w:color w:val="000000"/>
        </w:rPr>
        <w:t>Todas las personas tienen derecho a recurrir la primera sentencia condenatoria proferida en su contra.</w:t>
      </w:r>
    </w:p>
    <w:p w14:paraId="67A500E5" w14:textId="77777777" w:rsidR="005417E1" w:rsidRDefault="00D17363">
      <w:pPr>
        <w:spacing w:before="240" w:after="240" w:line="276" w:lineRule="auto"/>
        <w:ind w:right="356"/>
        <w:jc w:val="both"/>
        <w:rPr>
          <w:rFonts w:ascii="Times New Roman" w:eastAsia="Times New Roman" w:hAnsi="Times New Roman" w:cs="Times New Roman"/>
        </w:rPr>
      </w:pPr>
      <w:r>
        <w:rPr>
          <w:rFonts w:ascii="Constantia" w:eastAsia="Constantia" w:hAnsi="Constantia" w:cs="Constantia"/>
          <w:b/>
          <w:color w:val="000000"/>
        </w:rPr>
        <w:t>Artículo 3.</w:t>
      </w:r>
      <w:r>
        <w:rPr>
          <w:rFonts w:ascii="Constantia" w:eastAsia="Constantia" w:hAnsi="Constantia" w:cs="Constantia"/>
          <w:color w:val="000000"/>
        </w:rPr>
        <w:t xml:space="preserve"> Modifíquese el artículo 32 de la Ley 906 de 2004, el cual quedará así:</w:t>
      </w:r>
    </w:p>
    <w:p w14:paraId="40204A47" w14:textId="77777777" w:rsidR="005417E1" w:rsidRDefault="00D17363">
      <w:pPr>
        <w:spacing w:before="180" w:after="180" w:line="276" w:lineRule="auto"/>
        <w:ind w:left="560" w:right="356"/>
        <w:jc w:val="both"/>
        <w:rPr>
          <w:rFonts w:ascii="Times New Roman" w:eastAsia="Times New Roman" w:hAnsi="Times New Roman" w:cs="Times New Roman"/>
        </w:rPr>
      </w:pPr>
      <w:r>
        <w:rPr>
          <w:rFonts w:ascii="Constantia" w:eastAsia="Constantia" w:hAnsi="Constantia" w:cs="Constantia"/>
          <w:b/>
          <w:color w:val="000000"/>
        </w:rPr>
        <w:t>ARTÍCULO 32. DE LA CORTE SUPREMA DE JUSTICIA.</w:t>
      </w:r>
    </w:p>
    <w:p w14:paraId="31CE4DA7" w14:textId="77777777" w:rsidR="005417E1" w:rsidRDefault="00D17363">
      <w:pPr>
        <w:spacing w:before="180" w:after="180" w:line="276" w:lineRule="auto"/>
        <w:ind w:left="560" w:right="356"/>
        <w:jc w:val="both"/>
        <w:rPr>
          <w:rFonts w:ascii="Times New Roman" w:eastAsia="Times New Roman" w:hAnsi="Times New Roman" w:cs="Times New Roman"/>
        </w:rPr>
      </w:pPr>
      <w:r>
        <w:rPr>
          <w:rFonts w:ascii="Constantia" w:eastAsia="Constantia" w:hAnsi="Constantia" w:cs="Constantia"/>
          <w:color w:val="000000"/>
        </w:rPr>
        <w:t>La Sala de Casación Pena</w:t>
      </w:r>
      <w:r>
        <w:rPr>
          <w:rFonts w:ascii="Constantia" w:eastAsia="Constantia" w:hAnsi="Constantia" w:cs="Constantia"/>
          <w:color w:val="000000"/>
        </w:rPr>
        <w:t>l de la Corte Suprema de Justicia conoce:</w:t>
      </w:r>
    </w:p>
    <w:p w14:paraId="5285BA90" w14:textId="77777777" w:rsidR="005417E1" w:rsidRDefault="00D17363">
      <w:pPr>
        <w:spacing w:before="180" w:after="180" w:line="276" w:lineRule="auto"/>
        <w:ind w:left="560" w:right="356"/>
        <w:jc w:val="both"/>
        <w:rPr>
          <w:rFonts w:ascii="Times New Roman" w:eastAsia="Times New Roman" w:hAnsi="Times New Roman" w:cs="Times New Roman"/>
        </w:rPr>
      </w:pPr>
      <w:r>
        <w:rPr>
          <w:rFonts w:ascii="Constantia" w:eastAsia="Constantia" w:hAnsi="Constantia" w:cs="Constantia"/>
          <w:color w:val="000000"/>
        </w:rPr>
        <w:t>1. De la casación.</w:t>
      </w:r>
    </w:p>
    <w:p w14:paraId="6F52F74F" w14:textId="77777777" w:rsidR="005417E1" w:rsidRDefault="00D17363">
      <w:pPr>
        <w:spacing w:before="180" w:after="180" w:line="276" w:lineRule="auto"/>
        <w:ind w:left="560" w:right="356"/>
        <w:jc w:val="both"/>
        <w:rPr>
          <w:rFonts w:ascii="Times New Roman" w:eastAsia="Times New Roman" w:hAnsi="Times New Roman" w:cs="Times New Roman"/>
        </w:rPr>
      </w:pPr>
      <w:r>
        <w:rPr>
          <w:rFonts w:ascii="Constantia" w:eastAsia="Constantia" w:hAnsi="Constantia" w:cs="Constantia"/>
          <w:color w:val="000000"/>
        </w:rPr>
        <w:t>2. De la acción de revisión cuando la sentencia o la preclusión ejecutoriadas hayan sido proferidas en única o segunda instancia por esta corporación o por los tribunales.</w:t>
      </w:r>
    </w:p>
    <w:p w14:paraId="5CE67919" w14:textId="77777777" w:rsidR="005417E1" w:rsidRDefault="00D17363">
      <w:pPr>
        <w:spacing w:before="180" w:after="180" w:line="276" w:lineRule="auto"/>
        <w:ind w:left="560" w:right="356"/>
        <w:jc w:val="both"/>
        <w:rPr>
          <w:rFonts w:ascii="Times New Roman" w:eastAsia="Times New Roman" w:hAnsi="Times New Roman" w:cs="Times New Roman"/>
        </w:rPr>
      </w:pPr>
      <w:r>
        <w:rPr>
          <w:rFonts w:ascii="Constantia" w:eastAsia="Constantia" w:hAnsi="Constantia" w:cs="Constantia"/>
          <w:color w:val="000000"/>
        </w:rPr>
        <w:t xml:space="preserve">3. De la definición de </w:t>
      </w:r>
      <w:r>
        <w:rPr>
          <w:rFonts w:ascii="Constantia" w:eastAsia="Constantia" w:hAnsi="Constantia" w:cs="Constantia"/>
          <w:color w:val="000000"/>
        </w:rPr>
        <w:t>competencia cuando se trate de aforados constitucionales y legales, o de tribunales, o de juzgados de diferentes distritos.</w:t>
      </w:r>
    </w:p>
    <w:p w14:paraId="10C0A766" w14:textId="77777777" w:rsidR="005417E1" w:rsidRDefault="00D17363">
      <w:pPr>
        <w:spacing w:before="180" w:after="180" w:line="276" w:lineRule="auto"/>
        <w:ind w:left="560" w:right="356"/>
        <w:jc w:val="both"/>
        <w:rPr>
          <w:rFonts w:ascii="Times New Roman" w:eastAsia="Times New Roman" w:hAnsi="Times New Roman" w:cs="Times New Roman"/>
        </w:rPr>
      </w:pPr>
      <w:r>
        <w:rPr>
          <w:rFonts w:ascii="Constantia" w:eastAsia="Constantia" w:hAnsi="Constantia" w:cs="Constantia"/>
          <w:color w:val="000000"/>
        </w:rPr>
        <w:t>4. Del juzgamiento de los funcionarios a que se refieren los artículos</w:t>
      </w:r>
      <w:hyperlink r:id="rId9" w:anchor="174">
        <w:r>
          <w:rPr>
            <w:rFonts w:ascii="Constantia" w:eastAsia="Constantia" w:hAnsi="Constantia" w:cs="Constantia"/>
            <w:color w:val="000000"/>
            <w:u w:val="single"/>
          </w:rPr>
          <w:t xml:space="preserve"> 174</w:t>
        </w:r>
      </w:hyperlink>
      <w:r>
        <w:rPr>
          <w:rFonts w:ascii="Constantia" w:eastAsia="Constantia" w:hAnsi="Constantia" w:cs="Constantia"/>
          <w:color w:val="000000"/>
        </w:rPr>
        <w:t xml:space="preserve"> y</w:t>
      </w:r>
      <w:hyperlink r:id="rId10" w:anchor="235">
        <w:r>
          <w:rPr>
            <w:rFonts w:ascii="Constantia" w:eastAsia="Constantia" w:hAnsi="Constantia" w:cs="Constantia"/>
            <w:color w:val="000000"/>
            <w:u w:val="single"/>
          </w:rPr>
          <w:t xml:space="preserve"> 235</w:t>
        </w:r>
      </w:hyperlink>
      <w:r>
        <w:rPr>
          <w:rFonts w:ascii="Constantia" w:eastAsia="Constantia" w:hAnsi="Constantia" w:cs="Constantia"/>
          <w:color w:val="000000"/>
        </w:rPr>
        <w:t xml:space="preserve"> numeral 2 de la Constitución Política.</w:t>
      </w:r>
    </w:p>
    <w:p w14:paraId="49E2BC6F" w14:textId="77777777" w:rsidR="005417E1" w:rsidRDefault="00D17363">
      <w:pPr>
        <w:spacing w:line="276" w:lineRule="auto"/>
        <w:ind w:left="560" w:right="356"/>
        <w:jc w:val="both"/>
        <w:rPr>
          <w:rFonts w:ascii="Times New Roman" w:eastAsia="Times New Roman" w:hAnsi="Times New Roman" w:cs="Times New Roman"/>
        </w:rPr>
      </w:pPr>
      <w:r>
        <w:rPr>
          <w:rFonts w:ascii="Constantia" w:eastAsia="Constantia" w:hAnsi="Constantia" w:cs="Constantia"/>
          <w:color w:val="000000"/>
        </w:rPr>
        <w:t>5.  Del juzgamiento de los funcionar</w:t>
      </w:r>
      <w:r>
        <w:rPr>
          <w:rFonts w:ascii="Constantia" w:eastAsia="Constantia" w:hAnsi="Constantia" w:cs="Constantia"/>
          <w:color w:val="000000"/>
        </w:rPr>
        <w:t>ios a que se refiere el artículo</w:t>
      </w:r>
      <w:hyperlink r:id="rId11" w:anchor="235">
        <w:r>
          <w:rPr>
            <w:rFonts w:ascii="Constantia" w:eastAsia="Constantia" w:hAnsi="Constantia" w:cs="Constantia"/>
            <w:color w:val="000000"/>
            <w:u w:val="single"/>
          </w:rPr>
          <w:t xml:space="preserve"> 235</w:t>
        </w:r>
      </w:hyperlink>
      <w:r>
        <w:rPr>
          <w:rFonts w:ascii="Constantia" w:eastAsia="Constantia" w:hAnsi="Constantia" w:cs="Constantia"/>
          <w:color w:val="000000"/>
        </w:rPr>
        <w:t xml:space="preserve"> numeral 4 de la Constitución Política.</w:t>
      </w:r>
    </w:p>
    <w:p w14:paraId="1A63DA00" w14:textId="77777777" w:rsidR="005417E1" w:rsidRDefault="00D17363">
      <w:pPr>
        <w:spacing w:before="200" w:line="276" w:lineRule="auto"/>
        <w:ind w:left="560" w:right="356"/>
        <w:jc w:val="both"/>
        <w:rPr>
          <w:rFonts w:ascii="Times New Roman" w:eastAsia="Times New Roman" w:hAnsi="Times New Roman" w:cs="Times New Roman"/>
        </w:rPr>
      </w:pPr>
      <w:r>
        <w:rPr>
          <w:rFonts w:ascii="Constantia" w:eastAsia="Constantia" w:hAnsi="Constantia" w:cs="Constantia"/>
          <w:color w:val="000000"/>
        </w:rPr>
        <w:lastRenderedPageBreak/>
        <w:t>6. De la investigación y juzgamiento de los Senadores y Represen</w:t>
      </w:r>
      <w:r>
        <w:rPr>
          <w:rFonts w:ascii="Constantia" w:eastAsia="Constantia" w:hAnsi="Constantia" w:cs="Constantia"/>
          <w:color w:val="000000"/>
        </w:rPr>
        <w:t>tantes a la Cámara.</w:t>
      </w:r>
    </w:p>
    <w:p w14:paraId="03AEE627" w14:textId="77777777" w:rsidR="005417E1" w:rsidRDefault="00D17363">
      <w:pPr>
        <w:spacing w:before="180" w:after="180" w:line="276" w:lineRule="auto"/>
        <w:ind w:left="560" w:right="356"/>
        <w:jc w:val="both"/>
        <w:rPr>
          <w:rFonts w:ascii="Times New Roman" w:eastAsia="Times New Roman" w:hAnsi="Times New Roman" w:cs="Times New Roman"/>
        </w:rPr>
      </w:pPr>
      <w:r>
        <w:rPr>
          <w:rFonts w:ascii="Constantia" w:eastAsia="Constantia" w:hAnsi="Constantia" w:cs="Constantia"/>
          <w:color w:val="000000"/>
        </w:rPr>
        <w:t>7. De las solicitudes de cambio de radicación de procesos penales de un distrito judicial a otro durante el juzgamiento.</w:t>
      </w:r>
    </w:p>
    <w:p w14:paraId="67C029D3" w14:textId="77777777" w:rsidR="005417E1" w:rsidRDefault="00D17363">
      <w:pPr>
        <w:spacing w:before="180" w:after="180" w:line="276" w:lineRule="auto"/>
        <w:ind w:left="560" w:right="356"/>
        <w:jc w:val="both"/>
        <w:rPr>
          <w:rFonts w:ascii="Times New Roman" w:eastAsia="Times New Roman" w:hAnsi="Times New Roman" w:cs="Times New Roman"/>
        </w:rPr>
      </w:pPr>
      <w:r>
        <w:rPr>
          <w:rFonts w:ascii="Constantia" w:eastAsia="Constantia" w:hAnsi="Constantia" w:cs="Constantia"/>
          <w:color w:val="000000"/>
        </w:rPr>
        <w:t>8. Del juzgamiento del viceprocurador, vicefiscal, magistrados de los consejos seccionales de la judicatura, del Tr</w:t>
      </w:r>
      <w:r>
        <w:rPr>
          <w:rFonts w:ascii="Constantia" w:eastAsia="Constantia" w:hAnsi="Constantia" w:cs="Constantia"/>
          <w:color w:val="000000"/>
        </w:rPr>
        <w:t>ibunal Superior Militar, del Consejo Nacional Electoral, fiscales delegados ante la Corte Suprema de Justicia y Tribunales, Procuradores Delegados, Procuradores Judiciales II, Registrador Nacional del Estado Civil, Director Nacional de Fiscalía y Directore</w:t>
      </w:r>
      <w:r>
        <w:rPr>
          <w:rFonts w:ascii="Constantia" w:eastAsia="Constantia" w:hAnsi="Constantia" w:cs="Constantia"/>
          <w:color w:val="000000"/>
        </w:rPr>
        <w:t>s Seccionales de Fiscalía.</w:t>
      </w:r>
    </w:p>
    <w:p w14:paraId="521184AE" w14:textId="77777777" w:rsidR="005417E1" w:rsidRDefault="00D17363">
      <w:pPr>
        <w:spacing w:before="180" w:after="180" w:line="276" w:lineRule="auto"/>
        <w:ind w:left="560" w:right="356"/>
        <w:jc w:val="both"/>
        <w:rPr>
          <w:rFonts w:ascii="Times New Roman" w:eastAsia="Times New Roman" w:hAnsi="Times New Roman" w:cs="Times New Roman"/>
        </w:rPr>
      </w:pPr>
      <w:r>
        <w:rPr>
          <w:rFonts w:ascii="Constantia" w:eastAsia="Constantia" w:hAnsi="Constantia" w:cs="Constantia"/>
          <w:color w:val="000000"/>
        </w:rPr>
        <w:t>9.  De los recursos de apelación contra los autos y sentencias que profieran en primera instancia los Tribunales Superiores. </w:t>
      </w:r>
    </w:p>
    <w:p w14:paraId="051BD8D0" w14:textId="77777777" w:rsidR="005417E1" w:rsidRDefault="00D17363">
      <w:pPr>
        <w:spacing w:before="180" w:after="180" w:line="276" w:lineRule="auto"/>
        <w:ind w:left="560" w:right="356"/>
        <w:jc w:val="both"/>
        <w:rPr>
          <w:rFonts w:ascii="Times New Roman" w:eastAsia="Times New Roman" w:hAnsi="Times New Roman" w:cs="Times New Roman"/>
        </w:rPr>
      </w:pPr>
      <w:r>
        <w:rPr>
          <w:rFonts w:ascii="Constantia" w:eastAsia="Constantia" w:hAnsi="Constantia" w:cs="Constantia"/>
          <w:color w:val="000000"/>
        </w:rPr>
        <w:t>10. Del recurso de impugnación especial interpuesto contra la primera sentencia condenatoria proferida en segunda instancia por lo</w:t>
      </w:r>
      <w:r>
        <w:rPr>
          <w:rFonts w:ascii="Constantia" w:eastAsia="Constantia" w:hAnsi="Constantia" w:cs="Constantia"/>
          <w:color w:val="000000"/>
        </w:rPr>
        <w:t>s Tribunales Superiores de Distrito o por la Corte Suprema de Justicia en sede del recurso de casación o apelación.</w:t>
      </w:r>
    </w:p>
    <w:p w14:paraId="18594FA0" w14:textId="77777777" w:rsidR="005417E1" w:rsidRDefault="00D17363">
      <w:pPr>
        <w:spacing w:before="180" w:after="180" w:line="276" w:lineRule="auto"/>
        <w:ind w:left="560" w:right="356"/>
        <w:jc w:val="both"/>
        <w:rPr>
          <w:rFonts w:ascii="Times New Roman" w:eastAsia="Times New Roman" w:hAnsi="Times New Roman" w:cs="Times New Roman"/>
        </w:rPr>
      </w:pPr>
      <w:r>
        <w:rPr>
          <w:rFonts w:ascii="Constantia" w:eastAsia="Constantia" w:hAnsi="Constantia" w:cs="Constantia"/>
          <w:b/>
          <w:color w:val="000000"/>
        </w:rPr>
        <w:t xml:space="preserve">PARÁGRAFO. </w:t>
      </w:r>
      <w:r>
        <w:rPr>
          <w:rFonts w:ascii="Constantia" w:eastAsia="Constantia" w:hAnsi="Constantia" w:cs="Constantia"/>
          <w:color w:val="000000"/>
        </w:rPr>
        <w:t>Cuando los funcionarios a los que se refieren los numerales 5, 6 y 8 anteriores hubieren cesado en el ejercicio de sus cargos, el</w:t>
      </w:r>
      <w:r>
        <w:rPr>
          <w:rFonts w:ascii="Constantia" w:eastAsia="Constantia" w:hAnsi="Constantia" w:cs="Constantia"/>
          <w:color w:val="000000"/>
        </w:rPr>
        <w:t xml:space="preserve"> fuero sólo se mantendrá para los delitos que tengan relación con las funciones desempeñadas.</w:t>
      </w:r>
    </w:p>
    <w:p w14:paraId="3550591C"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Artículo 4.</w:t>
      </w:r>
      <w:r>
        <w:rPr>
          <w:rFonts w:ascii="Constantia" w:eastAsia="Constantia" w:hAnsi="Constantia" w:cs="Constantia"/>
          <w:color w:val="000000"/>
        </w:rPr>
        <w:t xml:space="preserve"> Créase el artículo 176A de la Ley 906 de 2004, el cual quedará así:</w:t>
      </w:r>
    </w:p>
    <w:p w14:paraId="6677528C" w14:textId="77777777" w:rsidR="005417E1" w:rsidRDefault="00D17363">
      <w:pPr>
        <w:spacing w:line="276" w:lineRule="auto"/>
        <w:ind w:left="560" w:right="520"/>
        <w:jc w:val="both"/>
        <w:rPr>
          <w:rFonts w:ascii="Times New Roman" w:eastAsia="Times New Roman" w:hAnsi="Times New Roman" w:cs="Times New Roman"/>
        </w:rPr>
      </w:pPr>
      <w:r>
        <w:rPr>
          <w:rFonts w:ascii="Constantia" w:eastAsia="Constantia" w:hAnsi="Constantia" w:cs="Constantia"/>
          <w:b/>
          <w:color w:val="000000"/>
        </w:rPr>
        <w:t>ARTÍCULO 176A: RECURSO DE IMPUGNACIÓN ESPECIAL:</w:t>
      </w:r>
      <w:r>
        <w:rPr>
          <w:rFonts w:ascii="Constantia" w:eastAsia="Constantia" w:hAnsi="Constantia" w:cs="Constantia"/>
          <w:color w:val="000000"/>
        </w:rPr>
        <w:t xml:space="preserve"> El recurso de impugnación especial procede contra la primera sentencia condenatoria, sea esta proferida en segunda instancia por los Tribunales Superiores de Distrito o por la Corte Suprema de Justicia en sed</w:t>
      </w:r>
      <w:r>
        <w:rPr>
          <w:rFonts w:ascii="Constantia" w:eastAsia="Constantia" w:hAnsi="Constantia" w:cs="Constantia"/>
          <w:color w:val="000000"/>
        </w:rPr>
        <w:t>e del recurso de apelación.</w:t>
      </w:r>
    </w:p>
    <w:p w14:paraId="0AA6BABA" w14:textId="77777777" w:rsidR="005417E1" w:rsidRDefault="005417E1">
      <w:pPr>
        <w:spacing w:line="276" w:lineRule="auto"/>
        <w:rPr>
          <w:rFonts w:ascii="Times New Roman" w:eastAsia="Times New Roman" w:hAnsi="Times New Roman" w:cs="Times New Roman"/>
        </w:rPr>
      </w:pPr>
    </w:p>
    <w:p w14:paraId="39561A55" w14:textId="77777777" w:rsidR="005417E1" w:rsidRDefault="00D17363">
      <w:pPr>
        <w:spacing w:before="240" w:after="240" w:line="276" w:lineRule="auto"/>
        <w:ind w:right="520"/>
        <w:jc w:val="both"/>
        <w:rPr>
          <w:rFonts w:ascii="Times New Roman" w:eastAsia="Times New Roman" w:hAnsi="Times New Roman" w:cs="Times New Roman"/>
        </w:rPr>
      </w:pPr>
      <w:r>
        <w:rPr>
          <w:rFonts w:ascii="Constantia" w:eastAsia="Constantia" w:hAnsi="Constantia" w:cs="Constantia"/>
          <w:b/>
          <w:color w:val="000000"/>
        </w:rPr>
        <w:t xml:space="preserve">Artículo 5. </w:t>
      </w:r>
      <w:r>
        <w:rPr>
          <w:rFonts w:ascii="Constantia" w:eastAsia="Constantia" w:hAnsi="Constantia" w:cs="Constantia"/>
          <w:color w:val="000000"/>
        </w:rPr>
        <w:t>Créase el artículo 178A en la Ley 906 de 2004, el cual quedará así:</w:t>
      </w:r>
    </w:p>
    <w:p w14:paraId="373D0187" w14:textId="77777777" w:rsidR="005417E1" w:rsidRDefault="00D17363">
      <w:pPr>
        <w:spacing w:before="240" w:after="240" w:line="276" w:lineRule="auto"/>
        <w:ind w:left="566" w:right="520"/>
        <w:jc w:val="both"/>
        <w:rPr>
          <w:rFonts w:ascii="Times New Roman" w:eastAsia="Times New Roman" w:hAnsi="Times New Roman" w:cs="Times New Roman"/>
        </w:rPr>
      </w:pPr>
      <w:r>
        <w:rPr>
          <w:rFonts w:ascii="Constantia" w:eastAsia="Constantia" w:hAnsi="Constantia" w:cs="Constantia"/>
          <w:b/>
          <w:color w:val="000000"/>
        </w:rPr>
        <w:t>ARTÍCULO 178A.</w:t>
      </w:r>
      <w:r>
        <w:rPr>
          <w:rFonts w:ascii="Constantia" w:eastAsia="Constantia" w:hAnsi="Constantia" w:cs="Constantia"/>
          <w:color w:val="000000"/>
        </w:rPr>
        <w:t xml:space="preserve"> </w:t>
      </w:r>
      <w:r>
        <w:rPr>
          <w:rFonts w:ascii="Constantia" w:eastAsia="Constantia" w:hAnsi="Constantia" w:cs="Constantia"/>
          <w:b/>
          <w:color w:val="000000"/>
        </w:rPr>
        <w:t xml:space="preserve"> TRÁMITE DEL RECURSO DE IMPUGNACIÓN ESPECIAL. </w:t>
      </w:r>
      <w:r>
        <w:rPr>
          <w:rFonts w:ascii="Constantia" w:eastAsia="Constantia" w:hAnsi="Constantia" w:cs="Constantia"/>
          <w:color w:val="000000"/>
        </w:rPr>
        <w:t>El recurso de impugnación especial se interpondrá en la audiencia de lectura de fallo,</w:t>
      </w:r>
      <w:r>
        <w:rPr>
          <w:rFonts w:ascii="Constantia" w:eastAsia="Constantia" w:hAnsi="Constantia" w:cs="Constantia"/>
          <w:color w:val="000000"/>
        </w:rPr>
        <w:t xml:space="preserve"> se sustentará dentro de los diez (1o) días siguientes, se correrá traslado a los no recurrentes en los tres (3) días siguientes, para que en un término de cinco (5) días se pronuncien. </w:t>
      </w:r>
    </w:p>
    <w:p w14:paraId="3A7058EE" w14:textId="77777777" w:rsidR="005417E1" w:rsidRDefault="00D17363">
      <w:pPr>
        <w:spacing w:before="240" w:after="240" w:line="276" w:lineRule="auto"/>
        <w:ind w:left="566" w:right="520"/>
        <w:jc w:val="both"/>
        <w:rPr>
          <w:rFonts w:ascii="Times New Roman" w:eastAsia="Times New Roman" w:hAnsi="Times New Roman" w:cs="Times New Roman"/>
        </w:rPr>
      </w:pPr>
      <w:r>
        <w:rPr>
          <w:rFonts w:ascii="Constantia" w:eastAsia="Constantia" w:hAnsi="Constantia" w:cs="Constantia"/>
          <w:color w:val="000000"/>
        </w:rPr>
        <w:lastRenderedPageBreak/>
        <w:t>El recurso de impugnación especial estará desprovisto de causales o t</w:t>
      </w:r>
      <w:r>
        <w:rPr>
          <w:rFonts w:ascii="Constantia" w:eastAsia="Constantia" w:hAnsi="Constantia" w:cs="Constantia"/>
          <w:color w:val="000000"/>
        </w:rPr>
        <w:t>écnica especial alguna, en el mismo deberán señalarse las razones del disenso contra el fallo condenatorio y estas constituirán el límite del juez superior para resolver.</w:t>
      </w:r>
    </w:p>
    <w:p w14:paraId="031087D8" w14:textId="77777777" w:rsidR="005417E1" w:rsidRDefault="00D17363">
      <w:pPr>
        <w:spacing w:before="240" w:after="240" w:line="276" w:lineRule="auto"/>
        <w:ind w:left="566" w:right="520"/>
        <w:jc w:val="both"/>
        <w:rPr>
          <w:rFonts w:ascii="Times New Roman" w:eastAsia="Times New Roman" w:hAnsi="Times New Roman" w:cs="Times New Roman"/>
        </w:rPr>
      </w:pPr>
      <w:r>
        <w:rPr>
          <w:rFonts w:ascii="Constantia" w:eastAsia="Constantia" w:hAnsi="Constantia" w:cs="Constantia"/>
          <w:color w:val="000000"/>
        </w:rPr>
        <w:t>Realizado el reparto en la Corte Suprema de Justicia, el Magistrado Ponente cuenta co</w:t>
      </w:r>
      <w:r>
        <w:rPr>
          <w:rFonts w:ascii="Constantia" w:eastAsia="Constantia" w:hAnsi="Constantia" w:cs="Constantia"/>
          <w:color w:val="000000"/>
        </w:rPr>
        <w:t>n treinta días para registrar proyecto y veinte la Sala para su estudio y decisión. El fallo será leído en audiencia dentro de los diez días siguientes a su aceptación por la sala. </w:t>
      </w:r>
    </w:p>
    <w:p w14:paraId="2C3813BB" w14:textId="77777777" w:rsidR="005417E1" w:rsidRDefault="00D17363">
      <w:pPr>
        <w:spacing w:before="240" w:after="240" w:line="276" w:lineRule="auto"/>
        <w:ind w:right="520"/>
        <w:jc w:val="both"/>
        <w:rPr>
          <w:rFonts w:ascii="Times New Roman" w:eastAsia="Times New Roman" w:hAnsi="Times New Roman" w:cs="Times New Roman"/>
        </w:rPr>
      </w:pPr>
      <w:r>
        <w:rPr>
          <w:rFonts w:ascii="Constantia" w:eastAsia="Constantia" w:hAnsi="Constantia" w:cs="Constantia"/>
          <w:b/>
          <w:color w:val="000000"/>
        </w:rPr>
        <w:t xml:space="preserve">Artículo 6. </w:t>
      </w:r>
      <w:r>
        <w:rPr>
          <w:rFonts w:ascii="Constantia" w:eastAsia="Constantia" w:hAnsi="Constantia" w:cs="Constantia"/>
          <w:color w:val="000000"/>
        </w:rPr>
        <w:t>Créase el artículo 178 B en la Ley 906 de 2004, el cual quedar</w:t>
      </w:r>
      <w:r>
        <w:rPr>
          <w:rFonts w:ascii="Constantia" w:eastAsia="Constantia" w:hAnsi="Constantia" w:cs="Constantia"/>
          <w:color w:val="000000"/>
        </w:rPr>
        <w:t>á así: </w:t>
      </w:r>
    </w:p>
    <w:p w14:paraId="7E59B17E" w14:textId="77777777" w:rsidR="005417E1" w:rsidRDefault="00D17363">
      <w:pPr>
        <w:spacing w:before="240" w:after="240" w:line="276" w:lineRule="auto"/>
        <w:ind w:left="566" w:right="38"/>
        <w:jc w:val="both"/>
        <w:rPr>
          <w:rFonts w:ascii="Times New Roman" w:eastAsia="Times New Roman" w:hAnsi="Times New Roman" w:cs="Times New Roman"/>
        </w:rPr>
      </w:pPr>
      <w:r>
        <w:rPr>
          <w:rFonts w:ascii="Constantia" w:eastAsia="Constantia" w:hAnsi="Constantia" w:cs="Constantia"/>
          <w:b/>
          <w:color w:val="000000"/>
        </w:rPr>
        <w:t>ARTÍCULO 178B. CONCURRENCIA DE LOS RECURSOS DE CASACIÓN Y DE IMPUGNACIÓN ESPECIAL CONTRA UNA MISMA SENTENCIA:</w:t>
      </w:r>
      <w:r>
        <w:rPr>
          <w:rFonts w:ascii="Constantia" w:eastAsia="Constantia" w:hAnsi="Constantia" w:cs="Constantia"/>
          <w:color w:val="000000"/>
        </w:rPr>
        <w:t xml:space="preserve"> Cuando en una sentencia proferida en segunda instancia se condene por primera vez respecto de uno o varios delitos y a la vez se confirme </w:t>
      </w:r>
      <w:r>
        <w:rPr>
          <w:rFonts w:ascii="Constantia" w:eastAsia="Constantia" w:hAnsi="Constantia" w:cs="Constantia"/>
          <w:color w:val="000000"/>
        </w:rPr>
        <w:t>la condena impuesta en primera instancia respecto de otro u otros delitos, se aplicarán las siguientes reglas:</w:t>
      </w:r>
    </w:p>
    <w:p w14:paraId="51FB2755" w14:textId="77777777" w:rsidR="005417E1" w:rsidRDefault="00D17363">
      <w:pPr>
        <w:spacing w:line="276" w:lineRule="auto"/>
        <w:ind w:left="566" w:right="38"/>
        <w:jc w:val="both"/>
        <w:rPr>
          <w:rFonts w:ascii="Times New Roman" w:eastAsia="Times New Roman" w:hAnsi="Times New Roman" w:cs="Times New Roman"/>
        </w:rPr>
      </w:pPr>
      <w:r>
        <w:rPr>
          <w:rFonts w:ascii="Constantia" w:eastAsia="Constantia" w:hAnsi="Constantia" w:cs="Constantia"/>
          <w:color w:val="000000"/>
        </w:rPr>
        <w:t>1.</w:t>
      </w:r>
      <w:r>
        <w:rPr>
          <w:rFonts w:ascii="Times New Roman" w:eastAsia="Times New Roman" w:hAnsi="Times New Roman" w:cs="Times New Roman"/>
          <w:color w:val="000000"/>
          <w:sz w:val="14"/>
          <w:szCs w:val="14"/>
        </w:rPr>
        <w:t xml:space="preserve">     </w:t>
      </w:r>
      <w:r>
        <w:rPr>
          <w:rFonts w:ascii="Constantia" w:eastAsia="Constantia" w:hAnsi="Constantia" w:cs="Constantia"/>
          <w:color w:val="000000"/>
        </w:rPr>
        <w:t>Frente a la condena impuesta por primera vez en segunda instancia procede para el condenado o su defensor el recurso de impugnación especi</w:t>
      </w:r>
      <w:r>
        <w:rPr>
          <w:rFonts w:ascii="Constantia" w:eastAsia="Constantia" w:hAnsi="Constantia" w:cs="Constantia"/>
          <w:color w:val="000000"/>
        </w:rPr>
        <w:t>al.</w:t>
      </w:r>
    </w:p>
    <w:p w14:paraId="2B20CBC3" w14:textId="77777777" w:rsidR="005417E1" w:rsidRDefault="00D17363">
      <w:pPr>
        <w:spacing w:line="276" w:lineRule="auto"/>
        <w:ind w:left="566" w:right="38"/>
        <w:jc w:val="both"/>
        <w:rPr>
          <w:rFonts w:ascii="Times New Roman" w:eastAsia="Times New Roman" w:hAnsi="Times New Roman" w:cs="Times New Roman"/>
        </w:rPr>
      </w:pPr>
      <w:r>
        <w:rPr>
          <w:rFonts w:ascii="Constantia" w:eastAsia="Constantia" w:hAnsi="Constantia" w:cs="Constantia"/>
          <w:color w:val="000000"/>
        </w:rPr>
        <w:t>2.</w:t>
      </w:r>
      <w:r>
        <w:rPr>
          <w:rFonts w:ascii="Times New Roman" w:eastAsia="Times New Roman" w:hAnsi="Times New Roman" w:cs="Times New Roman"/>
          <w:color w:val="000000"/>
          <w:sz w:val="14"/>
          <w:szCs w:val="14"/>
        </w:rPr>
        <w:t xml:space="preserve">   </w:t>
      </w:r>
      <w:r>
        <w:rPr>
          <w:rFonts w:ascii="Constantia" w:eastAsia="Constantia" w:hAnsi="Constantia" w:cs="Constantia"/>
          <w:color w:val="000000"/>
        </w:rPr>
        <w:t>Al defensor del condenado solamente le es dable recurrir simultáneamente en casación en hipótesis de delitos juzgados en el mismo proceso respecto de los cuales se ha declarado la responsabilidad penal del procesado en primera y segunda instancia.</w:t>
      </w:r>
    </w:p>
    <w:p w14:paraId="2435B030" w14:textId="77777777" w:rsidR="005417E1" w:rsidRDefault="00D17363">
      <w:pPr>
        <w:spacing w:line="276" w:lineRule="auto"/>
        <w:ind w:left="566" w:right="38"/>
        <w:jc w:val="both"/>
        <w:rPr>
          <w:rFonts w:ascii="Times New Roman" w:eastAsia="Times New Roman" w:hAnsi="Times New Roman" w:cs="Times New Roman"/>
        </w:rPr>
      </w:pPr>
      <w:r>
        <w:rPr>
          <w:rFonts w:ascii="Constantia" w:eastAsia="Constantia" w:hAnsi="Constantia" w:cs="Constantia"/>
          <w:color w:val="000000"/>
        </w:rPr>
        <w:t>3.</w:t>
      </w:r>
      <w:r>
        <w:rPr>
          <w:rFonts w:ascii="Times New Roman" w:eastAsia="Times New Roman" w:hAnsi="Times New Roman" w:cs="Times New Roman"/>
          <w:color w:val="000000"/>
          <w:sz w:val="14"/>
          <w:szCs w:val="14"/>
        </w:rPr>
        <w:t xml:space="preserve">    </w:t>
      </w:r>
      <w:r>
        <w:rPr>
          <w:rFonts w:ascii="Constantia" w:eastAsia="Constantia" w:hAnsi="Constantia" w:cs="Constantia"/>
          <w:color w:val="000000"/>
        </w:rPr>
        <w:t>Si además de la impugnación especial promovida por el acusado o su defensor, otro sujeto procesal o interviniente promovió casación, la Corte procederá primero, a resolver la impugnación especial. </w:t>
      </w:r>
    </w:p>
    <w:p w14:paraId="3AB4EBB1" w14:textId="77777777" w:rsidR="005417E1" w:rsidRDefault="00D17363">
      <w:pPr>
        <w:spacing w:line="276" w:lineRule="auto"/>
        <w:ind w:left="566" w:right="38"/>
        <w:jc w:val="both"/>
        <w:rPr>
          <w:rFonts w:ascii="Times New Roman" w:eastAsia="Times New Roman" w:hAnsi="Times New Roman" w:cs="Times New Roman"/>
        </w:rPr>
      </w:pPr>
      <w:r>
        <w:rPr>
          <w:rFonts w:ascii="Constantia" w:eastAsia="Constantia" w:hAnsi="Constantia" w:cs="Constantia"/>
          <w:color w:val="000000"/>
        </w:rPr>
        <w:t>4.</w:t>
      </w:r>
      <w:r>
        <w:rPr>
          <w:rFonts w:ascii="Times New Roman" w:eastAsia="Times New Roman" w:hAnsi="Times New Roman" w:cs="Times New Roman"/>
          <w:color w:val="000000"/>
          <w:sz w:val="14"/>
          <w:szCs w:val="14"/>
        </w:rPr>
        <w:t xml:space="preserve">   </w:t>
      </w:r>
      <w:r>
        <w:rPr>
          <w:rFonts w:ascii="Constantia" w:eastAsia="Constantia" w:hAnsi="Constantia" w:cs="Constantia"/>
          <w:color w:val="000000"/>
        </w:rPr>
        <w:t>Resuelta la impugnación especial y notificada en audiencia de lectura de fallo empezará a correr el término para el defensor para presentar el recurso de casación respecto de los delitos para los cuales aún no lo hubiera presentado. </w:t>
      </w:r>
    </w:p>
    <w:p w14:paraId="49C2BF5D"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Parágrafo.</w:t>
      </w:r>
      <w:r>
        <w:rPr>
          <w:rFonts w:ascii="Constantia" w:eastAsia="Constantia" w:hAnsi="Constantia" w:cs="Constantia"/>
          <w:color w:val="000000"/>
        </w:rPr>
        <w:t xml:space="preserve"> En caso de </w:t>
      </w:r>
      <w:r>
        <w:rPr>
          <w:rFonts w:ascii="Constantia" w:eastAsia="Constantia" w:hAnsi="Constantia" w:cs="Constantia"/>
          <w:color w:val="000000"/>
        </w:rPr>
        <w:t>que la Corte admita el recurso extraordinario de casación interpuesto por otro sujeto procesal, la Sala resolverá en una sola providencia tanto la casación como la impugnación especial, a fin de evitar decisiones parciales.</w:t>
      </w:r>
    </w:p>
    <w:p w14:paraId="4F34395D" w14:textId="77777777" w:rsidR="005417E1" w:rsidRDefault="00D17363">
      <w:pPr>
        <w:spacing w:before="240" w:after="240" w:line="276" w:lineRule="auto"/>
        <w:ind w:right="520"/>
        <w:jc w:val="both"/>
        <w:rPr>
          <w:rFonts w:ascii="Times New Roman" w:eastAsia="Times New Roman" w:hAnsi="Times New Roman" w:cs="Times New Roman"/>
        </w:rPr>
      </w:pPr>
      <w:r>
        <w:rPr>
          <w:rFonts w:ascii="Constantia" w:eastAsia="Constantia" w:hAnsi="Constantia" w:cs="Constantia"/>
          <w:b/>
          <w:color w:val="000000"/>
        </w:rPr>
        <w:t xml:space="preserve">Artículo 7. </w:t>
      </w:r>
      <w:r>
        <w:rPr>
          <w:rFonts w:ascii="Constantia" w:eastAsia="Constantia" w:hAnsi="Constantia" w:cs="Constantia"/>
          <w:color w:val="000000"/>
        </w:rPr>
        <w:t>Créase el artículo 1</w:t>
      </w:r>
      <w:r>
        <w:rPr>
          <w:rFonts w:ascii="Constantia" w:eastAsia="Constantia" w:hAnsi="Constantia" w:cs="Constantia"/>
          <w:color w:val="000000"/>
        </w:rPr>
        <w:t>78 C en la Ley 906 de 2004, el cual quedará así:</w:t>
      </w:r>
    </w:p>
    <w:p w14:paraId="218971D0" w14:textId="77777777" w:rsidR="005417E1" w:rsidRDefault="00D17363">
      <w:pPr>
        <w:spacing w:before="240" w:after="240" w:line="276" w:lineRule="auto"/>
        <w:ind w:left="566" w:right="-40"/>
        <w:jc w:val="both"/>
        <w:rPr>
          <w:rFonts w:ascii="Times New Roman" w:eastAsia="Times New Roman" w:hAnsi="Times New Roman" w:cs="Times New Roman"/>
        </w:rPr>
      </w:pPr>
      <w:r>
        <w:rPr>
          <w:rFonts w:ascii="Constantia" w:eastAsia="Constantia" w:hAnsi="Constantia" w:cs="Constantia"/>
          <w:b/>
          <w:color w:val="000000"/>
        </w:rPr>
        <w:lastRenderedPageBreak/>
        <w:t>ARTÍCULO 178C. PRINCIPIO DE JUEZ IMPARCIAL EN EL RECURSO DE IMPUGNACIÓN ESPECIAL.</w:t>
      </w:r>
      <w:r>
        <w:rPr>
          <w:rFonts w:ascii="Constantia" w:eastAsia="Constantia" w:hAnsi="Constantia" w:cs="Constantia"/>
          <w:color w:val="000000"/>
        </w:rPr>
        <w:t xml:space="preserve"> Para garantizar el principio de juez imparcial la Sala de Casación Penal determinará en su reglamento su división en subsalas</w:t>
      </w:r>
      <w:r>
        <w:rPr>
          <w:rFonts w:ascii="Constantia" w:eastAsia="Constantia" w:hAnsi="Constantia" w:cs="Constantia"/>
          <w:color w:val="000000"/>
        </w:rPr>
        <w:t xml:space="preserve"> en caso de que deba conocer de demanda de casación o recurso de apelación y del recurso de impugnación especial dentro del mismo proceso. </w:t>
      </w:r>
    </w:p>
    <w:p w14:paraId="30E007EA"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 xml:space="preserve">Artículo 8. </w:t>
      </w:r>
      <w:r>
        <w:rPr>
          <w:rFonts w:ascii="Constantia" w:eastAsia="Constantia" w:hAnsi="Constantia" w:cs="Constantia"/>
          <w:color w:val="000000"/>
        </w:rPr>
        <w:t>Modifíquese el artículo 179 B de la Ley 906 de 2004, el cual quedará así:</w:t>
      </w:r>
    </w:p>
    <w:p w14:paraId="1D9C5D33" w14:textId="77777777" w:rsidR="005417E1" w:rsidRDefault="00D17363">
      <w:pPr>
        <w:spacing w:before="240" w:after="240" w:line="276" w:lineRule="auto"/>
        <w:ind w:left="540"/>
        <w:jc w:val="both"/>
        <w:rPr>
          <w:rFonts w:ascii="Times New Roman" w:eastAsia="Times New Roman" w:hAnsi="Times New Roman" w:cs="Times New Roman"/>
        </w:rPr>
      </w:pPr>
      <w:r>
        <w:rPr>
          <w:rFonts w:ascii="Constantia" w:eastAsia="Constantia" w:hAnsi="Constantia" w:cs="Constantia"/>
          <w:b/>
          <w:color w:val="000000"/>
        </w:rPr>
        <w:t>ARTÍCULO 179B. PROCEDENCIA DEL</w:t>
      </w:r>
      <w:r>
        <w:rPr>
          <w:rFonts w:ascii="Constantia" w:eastAsia="Constantia" w:hAnsi="Constantia" w:cs="Constantia"/>
          <w:b/>
          <w:color w:val="000000"/>
        </w:rPr>
        <w:t xml:space="preserve"> RECURSO DE QUEJA. </w:t>
      </w:r>
      <w:r>
        <w:rPr>
          <w:rFonts w:ascii="Constantia" w:eastAsia="Constantia" w:hAnsi="Constantia" w:cs="Constantia"/>
          <w:color w:val="000000"/>
        </w:rPr>
        <w:t>Cuando el funcionario de primera instancia deniegue el recurso de apelación, o el de segunda instancia deniegue el de impugnación especial, el recurrente podrá interponer el de queja dentro del término de ejecutoria de la decisión que de</w:t>
      </w:r>
      <w:r>
        <w:rPr>
          <w:rFonts w:ascii="Constantia" w:eastAsia="Constantia" w:hAnsi="Constantia" w:cs="Constantia"/>
          <w:color w:val="000000"/>
        </w:rPr>
        <w:t>niega el recurso.</w:t>
      </w:r>
    </w:p>
    <w:p w14:paraId="12B0220E"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 xml:space="preserve">Artículo 9.  </w:t>
      </w:r>
      <w:r>
        <w:rPr>
          <w:rFonts w:ascii="Constantia" w:eastAsia="Constantia" w:hAnsi="Constantia" w:cs="Constantia"/>
          <w:color w:val="000000"/>
        </w:rPr>
        <w:t>Modifíquese el artículo 179C de la Ley 906 de 2004, el cual quedará así:</w:t>
      </w:r>
    </w:p>
    <w:p w14:paraId="0A17333A" w14:textId="77777777" w:rsidR="005417E1" w:rsidRDefault="00D17363">
      <w:pPr>
        <w:spacing w:before="240" w:after="240" w:line="276" w:lineRule="auto"/>
        <w:ind w:left="566"/>
        <w:jc w:val="both"/>
        <w:rPr>
          <w:rFonts w:ascii="Times New Roman" w:eastAsia="Times New Roman" w:hAnsi="Times New Roman" w:cs="Times New Roman"/>
        </w:rPr>
      </w:pPr>
      <w:r>
        <w:rPr>
          <w:rFonts w:ascii="Constantia" w:eastAsia="Constantia" w:hAnsi="Constantia" w:cs="Constantia"/>
          <w:b/>
          <w:color w:val="000000"/>
        </w:rPr>
        <w:t xml:space="preserve">ARTÍCULO 179C. INTERPOSICIÓN. </w:t>
      </w:r>
      <w:r>
        <w:rPr>
          <w:rFonts w:ascii="Constantia" w:eastAsia="Constantia" w:hAnsi="Constantia" w:cs="Constantia"/>
          <w:color w:val="000000"/>
        </w:rPr>
        <w:t> Negado el recurso de apelación o el de impugnación especial, el interesado solicitará copia de la providencia impugnada y</w:t>
      </w:r>
      <w:r>
        <w:rPr>
          <w:rFonts w:ascii="Constantia" w:eastAsia="Constantia" w:hAnsi="Constantia" w:cs="Constantia"/>
          <w:color w:val="000000"/>
        </w:rPr>
        <w:t xml:space="preserve"> de las demás piezas pertinentes, las cuales se compulsarán dentro del improrrogable término de un (1) día y se enviarán inmediatamente al superior.</w:t>
      </w:r>
    </w:p>
    <w:p w14:paraId="3714FE21"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 xml:space="preserve">Artículo 10. </w:t>
      </w:r>
      <w:r>
        <w:rPr>
          <w:rFonts w:ascii="Constantia" w:eastAsia="Constantia" w:hAnsi="Constantia" w:cs="Constantia"/>
          <w:color w:val="000000"/>
        </w:rPr>
        <w:t>Modifíquese el artículo 179E de la  Ley 906 de 2004, el cual quedará así:</w:t>
      </w:r>
    </w:p>
    <w:p w14:paraId="3B660B76" w14:textId="77777777" w:rsidR="005417E1" w:rsidRDefault="00D17363">
      <w:pPr>
        <w:spacing w:before="240" w:after="240" w:line="276" w:lineRule="auto"/>
        <w:ind w:left="566"/>
        <w:jc w:val="both"/>
        <w:rPr>
          <w:rFonts w:ascii="Times New Roman" w:eastAsia="Times New Roman" w:hAnsi="Times New Roman" w:cs="Times New Roman"/>
        </w:rPr>
      </w:pPr>
      <w:r>
        <w:rPr>
          <w:rFonts w:ascii="Constantia" w:eastAsia="Constantia" w:hAnsi="Constantia" w:cs="Constantia"/>
          <w:b/>
          <w:color w:val="000000"/>
        </w:rPr>
        <w:t>ARTÍCULO 179E. DECIS</w:t>
      </w:r>
      <w:r>
        <w:rPr>
          <w:rFonts w:ascii="Constantia" w:eastAsia="Constantia" w:hAnsi="Constantia" w:cs="Constantia"/>
          <w:b/>
          <w:color w:val="000000"/>
        </w:rPr>
        <w:t>IÓN DEL RECURSO.</w:t>
      </w:r>
      <w:r>
        <w:rPr>
          <w:rFonts w:ascii="Constantia" w:eastAsia="Constantia" w:hAnsi="Constantia" w:cs="Constantia"/>
          <w:color w:val="000000"/>
        </w:rPr>
        <w:t xml:space="preserve"> Si el superior concede la apelación o la impugnación especial, determinará el efecto que le corresponda y comunicará su decisión al inferior.</w:t>
      </w:r>
    </w:p>
    <w:p w14:paraId="54D26EAE"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 xml:space="preserve">Artículo 11.  </w:t>
      </w:r>
      <w:r>
        <w:rPr>
          <w:rFonts w:ascii="Constantia" w:eastAsia="Constantia" w:hAnsi="Constantia" w:cs="Constantia"/>
          <w:color w:val="000000"/>
        </w:rPr>
        <w:t>Modifíquese el artículo 183 de la Ley 906 de 2004, el cual quedará así:</w:t>
      </w:r>
    </w:p>
    <w:p w14:paraId="27ECE79F" w14:textId="77777777" w:rsidR="005417E1" w:rsidRDefault="00D17363">
      <w:pPr>
        <w:spacing w:before="180" w:after="180" w:line="276" w:lineRule="auto"/>
        <w:ind w:left="566"/>
        <w:jc w:val="both"/>
        <w:rPr>
          <w:rFonts w:ascii="Times New Roman" w:eastAsia="Times New Roman" w:hAnsi="Times New Roman" w:cs="Times New Roman"/>
        </w:rPr>
      </w:pPr>
      <w:r>
        <w:rPr>
          <w:rFonts w:ascii="Constantia" w:eastAsia="Constantia" w:hAnsi="Constantia" w:cs="Constantia"/>
          <w:b/>
          <w:color w:val="000000"/>
        </w:rPr>
        <w:t>ARTÍCULO 18</w:t>
      </w:r>
      <w:r>
        <w:rPr>
          <w:rFonts w:ascii="Constantia" w:eastAsia="Constantia" w:hAnsi="Constantia" w:cs="Constantia"/>
          <w:b/>
          <w:color w:val="000000"/>
        </w:rPr>
        <w:t xml:space="preserve">3. OPORTUNIDAD. </w:t>
      </w:r>
      <w:r>
        <w:rPr>
          <w:rFonts w:ascii="Constantia" w:eastAsia="Constantia" w:hAnsi="Constantia" w:cs="Constantia"/>
          <w:color w:val="000000"/>
        </w:rPr>
        <w:t>El recurso se interpondrá ante el Tribunal dentro de los cinco (5) días siguientes a la última notificación y en un término posterior común de treinta (30) días se presentará la demanda que de manera precisa y concisa señale las causales in</w:t>
      </w:r>
      <w:r>
        <w:rPr>
          <w:rFonts w:ascii="Constantia" w:eastAsia="Constantia" w:hAnsi="Constantia" w:cs="Constantia"/>
          <w:color w:val="000000"/>
        </w:rPr>
        <w:t>vocadas y sus fundamentos.</w:t>
      </w:r>
    </w:p>
    <w:p w14:paraId="467E9381" w14:textId="77777777" w:rsidR="005417E1" w:rsidRDefault="00D17363">
      <w:pPr>
        <w:spacing w:before="180" w:after="180" w:line="276" w:lineRule="auto"/>
        <w:ind w:left="566"/>
        <w:jc w:val="both"/>
        <w:rPr>
          <w:rFonts w:ascii="Times New Roman" w:eastAsia="Times New Roman" w:hAnsi="Times New Roman" w:cs="Times New Roman"/>
        </w:rPr>
      </w:pPr>
      <w:r>
        <w:rPr>
          <w:rFonts w:ascii="Constantia" w:eastAsia="Constantia" w:hAnsi="Constantia" w:cs="Constantia"/>
          <w:color w:val="000000"/>
        </w:rPr>
        <w:t>Si no se presenta la demanda dentro del término señalado se declara desierto el recurso, mediante auto que admite el recurso de reposición.</w:t>
      </w:r>
    </w:p>
    <w:p w14:paraId="00EDA66A" w14:textId="77777777" w:rsidR="005417E1" w:rsidRDefault="00D17363">
      <w:pPr>
        <w:spacing w:before="180" w:after="180" w:line="276" w:lineRule="auto"/>
        <w:ind w:left="566"/>
        <w:jc w:val="both"/>
        <w:rPr>
          <w:rFonts w:ascii="Times New Roman" w:eastAsia="Times New Roman" w:hAnsi="Times New Roman" w:cs="Times New Roman"/>
        </w:rPr>
      </w:pPr>
      <w:r>
        <w:rPr>
          <w:rFonts w:ascii="Constantia" w:eastAsia="Constantia" w:hAnsi="Constantia" w:cs="Constantia"/>
          <w:color w:val="000000"/>
        </w:rPr>
        <w:t>En el evento de que el acusado o su defensor hayan presentado recurso de impugnación espe</w:t>
      </w:r>
      <w:r>
        <w:rPr>
          <w:rFonts w:ascii="Constantia" w:eastAsia="Constantia" w:hAnsi="Constantia" w:cs="Constantia"/>
          <w:color w:val="000000"/>
        </w:rPr>
        <w:t xml:space="preserve">cial, el término para interponer el recurso extraordinario </w:t>
      </w:r>
      <w:r>
        <w:rPr>
          <w:rFonts w:ascii="Constantia" w:eastAsia="Constantia" w:hAnsi="Constantia" w:cs="Constantia"/>
          <w:color w:val="000000"/>
        </w:rPr>
        <w:lastRenderedPageBreak/>
        <w:t>de casación para los delitos por los cuales aún no lo hubieran presentado empezará a correr desde la audiencia de lectura de fallo.</w:t>
      </w:r>
    </w:p>
    <w:p w14:paraId="3815EF39"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b/>
          <w:color w:val="000000"/>
        </w:rPr>
        <w:t>Artículo 12. Ejercicio de la impugnación especial para aforados:</w:t>
      </w:r>
      <w:r>
        <w:rPr>
          <w:rFonts w:ascii="Constantia" w:eastAsia="Constantia" w:hAnsi="Constantia" w:cs="Constantia"/>
          <w:color w:val="000000"/>
        </w:rPr>
        <w:t xml:space="preserve"> Los aforados constitucionales de los que tratan los numerales 3, 4 y 5 del artículo 235 de la Constitución Política, así como los aforados legales señalados en el artículo 32 numeral 8 de la Ley 906 de 2004 tendrán derecho a impugnar la primera sentencia </w:t>
      </w:r>
      <w:r>
        <w:rPr>
          <w:rFonts w:ascii="Constantia" w:eastAsia="Constantia" w:hAnsi="Constantia" w:cs="Constantia"/>
          <w:color w:val="000000"/>
        </w:rPr>
        <w:t>condenatoria, para lo cual la Sala de Casación Penal se dividirá en salas de decisión conformadas por tres (03) magistrados con el objetivo de conocer los eventuales recursos de apelación, impugnación y casación garantizando el principio de imparcialidad j</w:t>
      </w:r>
      <w:r>
        <w:rPr>
          <w:rFonts w:ascii="Constantia" w:eastAsia="Constantia" w:hAnsi="Constantia" w:cs="Constantia"/>
          <w:color w:val="000000"/>
        </w:rPr>
        <w:t>udicial. </w:t>
      </w:r>
    </w:p>
    <w:p w14:paraId="3C8738D2" w14:textId="77777777" w:rsidR="005417E1" w:rsidRDefault="005417E1">
      <w:pPr>
        <w:spacing w:line="276" w:lineRule="auto"/>
        <w:rPr>
          <w:rFonts w:ascii="Times New Roman" w:eastAsia="Times New Roman" w:hAnsi="Times New Roman" w:cs="Times New Roman"/>
        </w:rPr>
      </w:pPr>
    </w:p>
    <w:p w14:paraId="2A9BB0CC"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b/>
          <w:color w:val="000000"/>
        </w:rPr>
        <w:t>Parágrafo:</w:t>
      </w:r>
      <w:r>
        <w:rPr>
          <w:rFonts w:ascii="Constantia" w:eastAsia="Constantia" w:hAnsi="Constantia" w:cs="Constantia"/>
          <w:color w:val="000000"/>
        </w:rPr>
        <w:t xml:space="preserve"> El recurso será procedente sin observancia de que el proceso se tramite bajo el régimen procesal de la Ley 600 de 2000 o la Ley 906 de 2004. </w:t>
      </w:r>
    </w:p>
    <w:p w14:paraId="31DA5A27"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 xml:space="preserve">Artículo 13. </w:t>
      </w:r>
      <w:r>
        <w:rPr>
          <w:rFonts w:ascii="Constantia" w:eastAsia="Constantia" w:hAnsi="Constantia" w:cs="Constantia"/>
          <w:color w:val="000000"/>
        </w:rPr>
        <w:t>Modifíquese el artículo 185 de la Ley 906 de 2004, el cual quedará así:</w:t>
      </w:r>
    </w:p>
    <w:p w14:paraId="20C14E0E" w14:textId="77777777" w:rsidR="005417E1" w:rsidRDefault="00D17363">
      <w:pPr>
        <w:shd w:val="clear" w:color="auto" w:fill="FFFFFF"/>
        <w:spacing w:before="240" w:line="276" w:lineRule="auto"/>
        <w:ind w:left="566"/>
        <w:jc w:val="both"/>
        <w:rPr>
          <w:rFonts w:ascii="Times New Roman" w:eastAsia="Times New Roman" w:hAnsi="Times New Roman" w:cs="Times New Roman"/>
        </w:rPr>
      </w:pPr>
      <w:r>
        <w:rPr>
          <w:rFonts w:ascii="Constantia" w:eastAsia="Constantia" w:hAnsi="Constantia" w:cs="Constantia"/>
          <w:b/>
          <w:color w:val="000000"/>
        </w:rPr>
        <w:t>Artículo 185:</w:t>
      </w:r>
      <w:r>
        <w:rPr>
          <w:rFonts w:ascii="Constantia" w:eastAsia="Constantia" w:hAnsi="Constantia" w:cs="Constantia"/>
          <w:color w:val="000000"/>
        </w:rPr>
        <w:t xml:space="preserve"> Cuando la Cort</w:t>
      </w:r>
      <w:r>
        <w:rPr>
          <w:rFonts w:ascii="Constantia" w:eastAsia="Constantia" w:hAnsi="Constantia" w:cs="Constantia"/>
          <w:color w:val="000000"/>
        </w:rPr>
        <w:t>e aceptare como demostrada alguna de las causales propuestas, dictará el fallo dentro de los sesenta (60) días siguientes a la audiencia de sustentación, contra el cual únicamente procede recurso de impugnación especial para el condenado  si en sede de cas</w:t>
      </w:r>
      <w:r>
        <w:rPr>
          <w:rFonts w:ascii="Constantia" w:eastAsia="Constantia" w:hAnsi="Constantia" w:cs="Constantia"/>
          <w:color w:val="000000"/>
        </w:rPr>
        <w:t>ación se le condenó por primera vez. Frente a los demás sujetos procesales no procede ningún recurso ni acción, salvo la de revisión</w:t>
      </w:r>
      <w:r>
        <w:rPr>
          <w:rFonts w:ascii="Arial" w:eastAsia="Arial" w:hAnsi="Arial" w:cs="Arial"/>
          <w:color w:val="000000"/>
          <w:sz w:val="25"/>
          <w:szCs w:val="25"/>
          <w:highlight w:val="white"/>
        </w:rPr>
        <w:t>.</w:t>
      </w:r>
    </w:p>
    <w:p w14:paraId="32DC384B" w14:textId="77777777" w:rsidR="005417E1" w:rsidRDefault="00D17363">
      <w:pPr>
        <w:shd w:val="clear" w:color="auto" w:fill="FFFFFF"/>
        <w:spacing w:line="276" w:lineRule="auto"/>
        <w:ind w:left="566"/>
        <w:jc w:val="both"/>
        <w:rPr>
          <w:rFonts w:ascii="Times New Roman" w:eastAsia="Times New Roman" w:hAnsi="Times New Roman" w:cs="Times New Roman"/>
        </w:rPr>
      </w:pPr>
      <w:r>
        <w:rPr>
          <w:rFonts w:ascii="Constantia" w:eastAsia="Constantia" w:hAnsi="Constantia" w:cs="Constantia"/>
          <w:color w:val="000000"/>
        </w:rPr>
        <w:t>La Corte está facultada para señalar en qué estado queda el proceso en el caso de determinar que este pueda recuperar algu</w:t>
      </w:r>
      <w:r>
        <w:rPr>
          <w:rFonts w:ascii="Constantia" w:eastAsia="Constantia" w:hAnsi="Constantia" w:cs="Constantia"/>
          <w:color w:val="000000"/>
        </w:rPr>
        <w:t>na vigencia. En caso contrario procederá a dictar el fallo que corresponda.</w:t>
      </w:r>
    </w:p>
    <w:p w14:paraId="45685A7B" w14:textId="77777777" w:rsidR="005417E1" w:rsidRDefault="00D17363">
      <w:pPr>
        <w:shd w:val="clear" w:color="auto" w:fill="FFFFFF"/>
        <w:spacing w:after="240" w:line="276" w:lineRule="auto"/>
        <w:ind w:left="566"/>
        <w:jc w:val="both"/>
        <w:rPr>
          <w:rFonts w:ascii="Times New Roman" w:eastAsia="Times New Roman" w:hAnsi="Times New Roman" w:cs="Times New Roman"/>
        </w:rPr>
      </w:pPr>
      <w:r>
        <w:rPr>
          <w:rFonts w:ascii="Constantia" w:eastAsia="Constantia" w:hAnsi="Constantia" w:cs="Constantia"/>
          <w:color w:val="000000"/>
        </w:rPr>
        <w:t>Cuando la Corte adopte el fallo, dentro del mismo lapso o a más tardar dentro de los cinco (5) días siguientes, citará a audiencia para lectura del mismo</w:t>
      </w:r>
      <w:r>
        <w:rPr>
          <w:rFonts w:ascii="Constantia" w:eastAsia="Constantia" w:hAnsi="Constantia" w:cs="Constantia"/>
          <w:b/>
          <w:color w:val="000000"/>
        </w:rPr>
        <w:t>.</w:t>
      </w:r>
    </w:p>
    <w:p w14:paraId="4F63F43A"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 xml:space="preserve">Artículo 14. </w:t>
      </w:r>
      <w:r>
        <w:rPr>
          <w:rFonts w:ascii="Constantia" w:eastAsia="Constantia" w:hAnsi="Constantia" w:cs="Constantia"/>
          <w:color w:val="000000"/>
        </w:rPr>
        <w:t xml:space="preserve">Modifíquese </w:t>
      </w:r>
      <w:r>
        <w:rPr>
          <w:rFonts w:ascii="Constantia" w:eastAsia="Constantia" w:hAnsi="Constantia" w:cs="Constantia"/>
          <w:color w:val="000000"/>
        </w:rPr>
        <w:t>el artículo 189 de la Ley 906 de 2004, el cual quedará así:</w:t>
      </w:r>
    </w:p>
    <w:p w14:paraId="489D4337" w14:textId="77777777" w:rsidR="005417E1" w:rsidRDefault="00D17363">
      <w:pPr>
        <w:spacing w:before="240" w:after="240" w:line="276" w:lineRule="auto"/>
        <w:ind w:left="630"/>
        <w:jc w:val="both"/>
        <w:rPr>
          <w:rFonts w:ascii="Times New Roman" w:eastAsia="Times New Roman" w:hAnsi="Times New Roman" w:cs="Times New Roman"/>
        </w:rPr>
      </w:pPr>
      <w:r>
        <w:rPr>
          <w:rFonts w:ascii="Constantia" w:eastAsia="Constantia" w:hAnsi="Constantia" w:cs="Constantia"/>
          <w:b/>
          <w:color w:val="000000"/>
        </w:rPr>
        <w:t xml:space="preserve">Artículo 189: Suspensión de la prescripción: </w:t>
      </w:r>
      <w:r>
        <w:rPr>
          <w:rFonts w:ascii="Constantia" w:eastAsia="Constantia" w:hAnsi="Constantia" w:cs="Constantia"/>
          <w:color w:val="000000"/>
        </w:rPr>
        <w:t xml:space="preserve">proferida la sentencia de segunda instancia se suspenderá el término de prescripción, el cual comenzará a correr de nuevo sin que pueda ser superior a </w:t>
      </w:r>
      <w:r>
        <w:rPr>
          <w:rFonts w:ascii="Constantia" w:eastAsia="Constantia" w:hAnsi="Constantia" w:cs="Constantia"/>
          <w:color w:val="000000"/>
        </w:rPr>
        <w:t>cinco (5) años. El mismo efecto generará la interposición del recurso de impugnación especial contra la primera sentencia condenatoria. </w:t>
      </w:r>
    </w:p>
    <w:p w14:paraId="54286F45"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b/>
          <w:color w:val="000000"/>
        </w:rPr>
        <w:t xml:space="preserve">Artículo 15. Derogatorias y vigencias:  </w:t>
      </w:r>
      <w:r>
        <w:rPr>
          <w:rFonts w:ascii="Constantia" w:eastAsia="Constantia" w:hAnsi="Constantia" w:cs="Constantia"/>
          <w:color w:val="000000"/>
        </w:rPr>
        <w:t>La presente ley empezará a regir a partir de la fecha de su publicación y derog</w:t>
      </w:r>
      <w:r>
        <w:rPr>
          <w:rFonts w:ascii="Constantia" w:eastAsia="Constantia" w:hAnsi="Constantia" w:cs="Constantia"/>
          <w:color w:val="000000"/>
        </w:rPr>
        <w:t>a todas las disposiciones que le sean contrarias.</w:t>
      </w:r>
    </w:p>
    <w:p w14:paraId="2E417F30" w14:textId="77777777" w:rsidR="005417E1" w:rsidRDefault="005417E1">
      <w:pPr>
        <w:spacing w:before="240" w:after="240" w:line="276" w:lineRule="auto"/>
        <w:jc w:val="both"/>
        <w:rPr>
          <w:rFonts w:ascii="Constantia" w:eastAsia="Constantia" w:hAnsi="Constantia" w:cs="Constantia"/>
        </w:rPr>
      </w:pPr>
    </w:p>
    <w:p w14:paraId="21B9151A" w14:textId="77777777" w:rsidR="005417E1" w:rsidRDefault="00D17363">
      <w:pPr>
        <w:spacing w:before="240" w:after="240" w:line="276" w:lineRule="auto"/>
        <w:jc w:val="both"/>
        <w:rPr>
          <w:rFonts w:ascii="Times New Roman" w:eastAsia="Times New Roman" w:hAnsi="Times New Roman" w:cs="Times New Roman"/>
        </w:rPr>
      </w:pPr>
      <w:r>
        <w:rPr>
          <w:rFonts w:ascii="Constantia" w:eastAsia="Constantia" w:hAnsi="Constantia" w:cs="Constantia"/>
          <w:color w:val="000000"/>
        </w:rPr>
        <w:t>Atentamente, </w:t>
      </w:r>
    </w:p>
    <w:p w14:paraId="546B56EB" w14:textId="77777777" w:rsidR="005417E1" w:rsidRDefault="005417E1">
      <w:pPr>
        <w:spacing w:line="276" w:lineRule="auto"/>
        <w:rPr>
          <w:rFonts w:ascii="Times New Roman" w:eastAsia="Times New Roman" w:hAnsi="Times New Roman" w:cs="Times New Roman"/>
        </w:rPr>
      </w:pPr>
    </w:p>
    <w:p w14:paraId="34F2525C" w14:textId="77777777" w:rsidR="005417E1" w:rsidRDefault="005417E1">
      <w:pPr>
        <w:spacing w:line="276" w:lineRule="auto"/>
        <w:rPr>
          <w:rFonts w:ascii="Times New Roman" w:eastAsia="Times New Roman" w:hAnsi="Times New Roman" w:cs="Times New Roman"/>
        </w:rPr>
      </w:pPr>
    </w:p>
    <w:p w14:paraId="4F4E56DB" w14:textId="77777777" w:rsidR="005417E1" w:rsidRDefault="005417E1">
      <w:pPr>
        <w:spacing w:line="276" w:lineRule="auto"/>
        <w:rPr>
          <w:rFonts w:ascii="Times New Roman" w:eastAsia="Times New Roman" w:hAnsi="Times New Roman" w:cs="Times New Roman"/>
        </w:rPr>
      </w:pPr>
    </w:p>
    <w:p w14:paraId="0B66FBAF" w14:textId="77777777" w:rsidR="005417E1" w:rsidRDefault="005417E1">
      <w:pPr>
        <w:spacing w:line="276" w:lineRule="auto"/>
        <w:rPr>
          <w:rFonts w:ascii="Times New Roman" w:eastAsia="Times New Roman" w:hAnsi="Times New Roman" w:cs="Times New Roman"/>
        </w:rPr>
      </w:pPr>
    </w:p>
    <w:p w14:paraId="08D2202D" w14:textId="77777777" w:rsidR="005417E1" w:rsidRDefault="00D17363">
      <w:pPr>
        <w:spacing w:line="276" w:lineRule="auto"/>
        <w:jc w:val="both"/>
        <w:rPr>
          <w:rFonts w:ascii="Times New Roman" w:eastAsia="Times New Roman" w:hAnsi="Times New Roman" w:cs="Times New Roman"/>
        </w:rPr>
      </w:pPr>
      <w:r>
        <w:rPr>
          <w:rFonts w:ascii="Constantia" w:eastAsia="Constantia" w:hAnsi="Constantia" w:cs="Constantia"/>
          <w:b/>
          <w:color w:val="000000"/>
        </w:rPr>
        <w:t>ALIRIO URIBE MUÑOZ</w:t>
      </w:r>
    </w:p>
    <w:p w14:paraId="00290949" w14:textId="77777777" w:rsidR="005417E1" w:rsidRDefault="00D17363">
      <w:pPr>
        <w:spacing w:line="276" w:lineRule="auto"/>
        <w:jc w:val="both"/>
      </w:pPr>
      <w:r>
        <w:rPr>
          <w:rFonts w:ascii="Constantia" w:eastAsia="Constantia" w:hAnsi="Constantia" w:cs="Constantia"/>
          <w:b/>
          <w:color w:val="000000"/>
        </w:rPr>
        <w:t>REPRESENTANTE A LA CÁMAR</w:t>
      </w:r>
      <w:r>
        <w:rPr>
          <w:rFonts w:ascii="Constantia" w:eastAsia="Constantia" w:hAnsi="Constantia" w:cs="Constantia"/>
          <w:b/>
        </w:rPr>
        <w:t>A</w:t>
      </w:r>
    </w:p>
    <w:sectPr w:rsidR="005417E1">
      <w:headerReference w:type="default" r:id="rId12"/>
      <w:footerReference w:type="default" r:id="rId13"/>
      <w:pgSz w:w="11906" w:h="16838"/>
      <w:pgMar w:top="1842" w:right="1701" w:bottom="19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0904" w14:textId="77777777" w:rsidR="00000000" w:rsidRDefault="00D17363">
      <w:r>
        <w:separator/>
      </w:r>
    </w:p>
  </w:endnote>
  <w:endnote w:type="continuationSeparator" w:id="0">
    <w:p w14:paraId="49F54654" w14:textId="77777777" w:rsidR="00000000" w:rsidRDefault="00D1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82DC" w14:textId="77777777" w:rsidR="005417E1" w:rsidRDefault="00D17363">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0288" behindDoc="0" locked="0" layoutInCell="1" hidden="0" allowOverlap="1" wp14:anchorId="0D2618B0" wp14:editId="098DD096">
          <wp:simplePos x="0" y="0"/>
          <wp:positionH relativeFrom="column">
            <wp:posOffset>2149654</wp:posOffset>
          </wp:positionH>
          <wp:positionV relativeFrom="paragraph">
            <wp:posOffset>-80008</wp:posOffset>
          </wp:positionV>
          <wp:extent cx="3388995" cy="461645"/>
          <wp:effectExtent l="0" t="0" r="0" b="0"/>
          <wp:wrapSquare wrapText="bothSides" distT="0" distB="0" distL="114300" distR="114300"/>
          <wp:docPr id="20501829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88995" cy="46164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087CA42" wp14:editId="14670F8F">
          <wp:simplePos x="0" y="0"/>
          <wp:positionH relativeFrom="column">
            <wp:posOffset>-1506218</wp:posOffset>
          </wp:positionH>
          <wp:positionV relativeFrom="paragraph">
            <wp:posOffset>536868</wp:posOffset>
          </wp:positionV>
          <wp:extent cx="8551545" cy="139700"/>
          <wp:effectExtent l="0" t="0" r="0" b="0"/>
          <wp:wrapNone/>
          <wp:docPr id="20501829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551545" cy="1397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50CCA2A9" wp14:editId="558912B2">
          <wp:simplePos x="0" y="0"/>
          <wp:positionH relativeFrom="column">
            <wp:posOffset>-99236</wp:posOffset>
          </wp:positionH>
          <wp:positionV relativeFrom="paragraph">
            <wp:posOffset>-125727</wp:posOffset>
          </wp:positionV>
          <wp:extent cx="2002174" cy="580828"/>
          <wp:effectExtent l="0" t="0" r="0" b="0"/>
          <wp:wrapNone/>
          <wp:docPr id="20501829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002174" cy="58082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5EC11" w14:textId="77777777" w:rsidR="00000000" w:rsidRDefault="00D17363">
      <w:r>
        <w:separator/>
      </w:r>
    </w:p>
  </w:footnote>
  <w:footnote w:type="continuationSeparator" w:id="0">
    <w:p w14:paraId="09D4C3FF" w14:textId="77777777" w:rsidR="00000000" w:rsidRDefault="00D17363">
      <w:r>
        <w:continuationSeparator/>
      </w:r>
    </w:p>
  </w:footnote>
  <w:footnote w:id="1">
    <w:p w14:paraId="069F26B0" w14:textId="77777777" w:rsidR="005417E1" w:rsidRDefault="00D17363">
      <w:pPr>
        <w:pBdr>
          <w:top w:val="nil"/>
          <w:left w:val="nil"/>
          <w:bottom w:val="nil"/>
          <w:right w:val="nil"/>
          <w:between w:val="nil"/>
        </w:pBdr>
        <w:jc w:val="both"/>
        <w:rPr>
          <w:color w:val="000000"/>
          <w:sz w:val="20"/>
          <w:szCs w:val="20"/>
        </w:rPr>
      </w:pPr>
      <w:r>
        <w:rPr>
          <w:vertAlign w:val="superscript"/>
        </w:rPr>
        <w:footnoteRef/>
      </w:r>
      <w:r>
        <w:rPr>
          <w:rFonts w:ascii="Constantia" w:eastAsia="Constantia" w:hAnsi="Constantia" w:cs="Constantia"/>
          <w:color w:val="000000"/>
          <w:sz w:val="22"/>
          <w:szCs w:val="22"/>
        </w:rPr>
        <w:t xml:space="preserve"> Audiencia Pública 17/ 02/2025 disponible en:</w:t>
      </w:r>
      <w:r>
        <w:rPr>
          <w:color w:val="000000"/>
          <w:sz w:val="18"/>
          <w:szCs w:val="18"/>
        </w:rPr>
        <w:t xml:space="preserve"> </w:t>
      </w:r>
      <w:hyperlink r:id="rId1">
        <w:r>
          <w:rPr>
            <w:color w:val="0563C1"/>
            <w:sz w:val="20"/>
            <w:szCs w:val="20"/>
            <w:u w:val="single"/>
          </w:rPr>
          <w:t>https://www.youtube.com/watch?v=Xk-TeNb2yjk&amp;t=8369s</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02A" w14:textId="77777777" w:rsidR="005417E1" w:rsidRDefault="00D17363">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703128A4" wp14:editId="28F1211A">
          <wp:simplePos x="0" y="0"/>
          <wp:positionH relativeFrom="column">
            <wp:posOffset>2992120</wp:posOffset>
          </wp:positionH>
          <wp:positionV relativeFrom="paragraph">
            <wp:posOffset>-375918</wp:posOffset>
          </wp:positionV>
          <wp:extent cx="2543175" cy="1078230"/>
          <wp:effectExtent l="0" t="0" r="0" b="0"/>
          <wp:wrapNone/>
          <wp:docPr id="20501829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59018"/>
                  <a:stretch>
                    <a:fillRect/>
                  </a:stretch>
                </pic:blipFill>
                <pic:spPr>
                  <a:xfrm>
                    <a:off x="0" y="0"/>
                    <a:ext cx="2543175" cy="107823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58FB04C" wp14:editId="346B22E2">
          <wp:simplePos x="0" y="0"/>
          <wp:positionH relativeFrom="column">
            <wp:posOffset>64137</wp:posOffset>
          </wp:positionH>
          <wp:positionV relativeFrom="paragraph">
            <wp:posOffset>-248624</wp:posOffset>
          </wp:positionV>
          <wp:extent cx="2753360" cy="638175"/>
          <wp:effectExtent l="0" t="0" r="0" b="0"/>
          <wp:wrapSquare wrapText="bothSides" distT="0" distB="0" distL="114300" distR="114300"/>
          <wp:docPr id="20501829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753360" cy="638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213F"/>
    <w:multiLevelType w:val="multilevel"/>
    <w:tmpl w:val="60449D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1936F44"/>
    <w:multiLevelType w:val="multilevel"/>
    <w:tmpl w:val="824C11D0"/>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15:restartNumberingAfterBreak="0">
    <w:nsid w:val="47665215"/>
    <w:multiLevelType w:val="multilevel"/>
    <w:tmpl w:val="7A7A3250"/>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41B629A"/>
    <w:multiLevelType w:val="multilevel"/>
    <w:tmpl w:val="E3FCFBE4"/>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2425134"/>
    <w:multiLevelType w:val="multilevel"/>
    <w:tmpl w:val="132E1DD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E1"/>
    <w:rsid w:val="005417E1"/>
    <w:rsid w:val="00D173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1224"/>
  <w15:docId w15:val="{7D120ABB-A130-42E6-A64A-6A78D63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D579E"/>
    <w:pPr>
      <w:tabs>
        <w:tab w:val="center" w:pos="4419"/>
        <w:tab w:val="right" w:pos="8838"/>
      </w:tabs>
    </w:pPr>
  </w:style>
  <w:style w:type="character" w:customStyle="1" w:styleId="EncabezadoCar">
    <w:name w:val="Encabezado Car"/>
    <w:basedOn w:val="Fuentedeprrafopredeter"/>
    <w:link w:val="Encabezado"/>
    <w:uiPriority w:val="99"/>
    <w:rsid w:val="005D579E"/>
  </w:style>
  <w:style w:type="paragraph" w:styleId="Piedepgina">
    <w:name w:val="footer"/>
    <w:basedOn w:val="Normal"/>
    <w:link w:val="PiedepginaCar"/>
    <w:uiPriority w:val="99"/>
    <w:unhideWhenUsed/>
    <w:rsid w:val="005D579E"/>
    <w:pPr>
      <w:tabs>
        <w:tab w:val="center" w:pos="4419"/>
        <w:tab w:val="right" w:pos="8838"/>
      </w:tabs>
    </w:pPr>
  </w:style>
  <w:style w:type="character" w:customStyle="1" w:styleId="PiedepginaCar">
    <w:name w:val="Pie de página Car"/>
    <w:basedOn w:val="Fuentedeprrafopredeter"/>
    <w:link w:val="Piedepgina"/>
    <w:uiPriority w:val="99"/>
    <w:rsid w:val="005D579E"/>
  </w:style>
  <w:style w:type="paragraph" w:styleId="Prrafodelista">
    <w:name w:val="List Paragraph"/>
    <w:basedOn w:val="Normal"/>
    <w:uiPriority w:val="34"/>
    <w:qFormat/>
    <w:rsid w:val="00FC4AD1"/>
    <w:pPr>
      <w:ind w:left="720"/>
      <w:contextualSpacing/>
    </w:pPr>
  </w:style>
  <w:style w:type="paragraph" w:styleId="Textonotapie">
    <w:name w:val="footnote text"/>
    <w:basedOn w:val="Normal"/>
    <w:link w:val="TextonotapieCar"/>
    <w:uiPriority w:val="99"/>
    <w:semiHidden/>
    <w:unhideWhenUsed/>
    <w:rsid w:val="001668A1"/>
    <w:rPr>
      <w:sz w:val="20"/>
      <w:szCs w:val="20"/>
    </w:rPr>
  </w:style>
  <w:style w:type="character" w:customStyle="1" w:styleId="TextonotapieCar">
    <w:name w:val="Texto nota pie Car"/>
    <w:basedOn w:val="Fuentedeprrafopredeter"/>
    <w:link w:val="Textonotapie"/>
    <w:uiPriority w:val="99"/>
    <w:semiHidden/>
    <w:rsid w:val="001668A1"/>
    <w:rPr>
      <w:sz w:val="20"/>
      <w:szCs w:val="20"/>
    </w:rPr>
  </w:style>
  <w:style w:type="character" w:styleId="Refdenotaalpie">
    <w:name w:val="footnote reference"/>
    <w:basedOn w:val="Fuentedeprrafopredeter"/>
    <w:uiPriority w:val="99"/>
    <w:semiHidden/>
    <w:unhideWhenUsed/>
    <w:rsid w:val="001668A1"/>
    <w:rPr>
      <w:vertAlign w:val="superscript"/>
    </w:rPr>
  </w:style>
  <w:style w:type="character" w:styleId="Hipervnculo">
    <w:name w:val="Hyperlink"/>
    <w:basedOn w:val="Fuentedeprrafopredeter"/>
    <w:uiPriority w:val="99"/>
    <w:unhideWhenUsed/>
    <w:rsid w:val="001668A1"/>
    <w:rPr>
      <w:color w:val="0563C1" w:themeColor="hyperlink"/>
      <w:u w:val="single"/>
    </w:rPr>
  </w:style>
  <w:style w:type="character" w:styleId="Mencinsinresolver">
    <w:name w:val="Unresolved Mention"/>
    <w:basedOn w:val="Fuentedeprrafopredeter"/>
    <w:uiPriority w:val="99"/>
    <w:semiHidden/>
    <w:unhideWhenUsed/>
    <w:rsid w:val="001668A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rteidh.scjn.gob.mx/buscador/doc?doc=casos_sentencias/CasoBarretoLeivaVsVenezuela_FondoReparacionesCosta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07.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cretariasenado.gov.co/senado/basedoc/constitucion_politica_1991_pr007.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05.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Xk-TeNb2yjk&amp;t=8369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G0PyOFwwr54yBkGla/eiuJi1A==">CgMxLjA4AHIhMVVtcWtGNDVzX0JDOWtMMHRHbEdKbENDZDNvMkZPMS1R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12678</Words>
  <Characters>69730</Characters>
  <Application>Microsoft Office Word</Application>
  <DocSecurity>0</DocSecurity>
  <Lines>581</Lines>
  <Paragraphs>164</Paragraphs>
  <ScaleCrop>false</ScaleCrop>
  <Company/>
  <LinksUpToDate>false</LinksUpToDate>
  <CharactersWithSpaces>82244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Cárdenas Ruiz</dc:creator>
  <cp:lastModifiedBy>Andrea Carolina Vargas Laverde UTL</cp:lastModifiedBy>
  <cp:revision>2</cp:revision>
  <dcterms:created xsi:type="dcterms:W3CDTF">2025-09-03T17:44:00Z</dcterms:created>
  <dcterms:modified xsi:type="dcterms:W3CDTF">2025-09-03T19:50:00Z</dcterms:modified>
</cp:coreProperties>
</file>